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735" w:rsidRPr="004B2F13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0735" w:rsidRPr="004B2F13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0735" w:rsidRPr="00BC6A5D" w:rsidRDefault="00491A6C" w:rsidP="004B2F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7 сессия Подкомитета по осуществлению документов </w:t>
      </w:r>
      <w:r w:rsidR="00BC6A5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ИМО (III</w:t>
      </w:r>
      <w:r w:rsidR="006077CC" w:rsidRPr="006077C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7) - 12 - 16 июля 2021 г.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735" w:rsidRPr="00BC6A5D" w:rsidRDefault="00800735" w:rsidP="000B1E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Подкомитета по осуществлению документов ИМО проводилась дистанционно </w:t>
      </w:r>
      <w:r w:rsidR="00B83BD6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период с 12 по 16 июля 2021 г.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735" w:rsidRPr="00BC6A5D" w:rsidRDefault="00800735" w:rsidP="004B2F1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Рассмотрение и анализ отчетов о предполагаемой недостаточности портовых приемных сооружений</w:t>
      </w:r>
    </w:p>
    <w:p w:rsidR="00800735" w:rsidRPr="00BC6A5D" w:rsidRDefault="00800735" w:rsidP="004B2F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соответствии с МАРПОЛ, администрации обязаны уведомлять ИМО обо всех случаях, когда предполагается, что сооружения являются недостаточными.</w:t>
      </w:r>
    </w:p>
    <w:p w:rsidR="004B2F13" w:rsidRPr="00BC6A5D" w:rsidRDefault="00800735" w:rsidP="004B2F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отмечено, что ежегодные отчеты по обеспечению портовыми приемными сооружениями в 2020 г., показавшие, что значительная часть отчетов (85 из 91) о недостаточности сооружений, относились к Приложению V к МАРПОЛ по отходам, где чаще всего упоминались такие четыре категории, как отходы пластмассы, пищи и бытовые отходы, а также зола </w:t>
      </w:r>
      <w:proofErr w:type="spellStart"/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инсинераторов</w:t>
      </w:r>
      <w:proofErr w:type="spellEnd"/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</w:p>
    <w:p w:rsidR="00800735" w:rsidRPr="00BC6A5D" w:rsidRDefault="00800735" w:rsidP="004B2F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Было отмечено, что о несоответствиях четко сообщается для ра</w:t>
      </w:r>
      <w:r w:rsidR="00B83BD6">
        <w:rPr>
          <w:rFonts w:ascii="Times New Roman" w:eastAsia="Times New Roman" w:hAnsi="Times New Roman" w:cs="Times New Roman"/>
          <w:sz w:val="24"/>
          <w:szCs w:val="24"/>
          <w:lang w:bidi="ru-RU"/>
        </w:rPr>
        <w:t>ссмотрения существующих проблем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что потребовались определенные меры для оценки прогресса реагирования от государств порта.</w:t>
      </w:r>
    </w:p>
    <w:p w:rsidR="00800735" w:rsidRPr="00BC6A5D" w:rsidRDefault="00800735" w:rsidP="004B2F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Вопрос о рассмотрении загрязнения морским пластмассовым мусором будет рассмотрен на 8 сессии Подкомитета </w:t>
      </w:r>
      <w:r w:rsidR="00D810AB">
        <w:rPr>
          <w:rFonts w:ascii="Times New Roman" w:eastAsia="Times New Roman" w:hAnsi="Times New Roman" w:cs="Times New Roman"/>
          <w:sz w:val="24"/>
          <w:szCs w:val="24"/>
          <w:lang w:bidi="ru-RU"/>
        </w:rPr>
        <w:t>III</w:t>
      </w:r>
      <w:r w:rsidR="006077CC" w:rsidRPr="006077C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(предположительно</w:t>
      </w:r>
      <w:r w:rsidR="00B83BD6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июле 2022 г.).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735" w:rsidRPr="00BC6A5D" w:rsidRDefault="00800735" w:rsidP="004B2F1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Извлеченные уроки и вопросы безопасности, выявленные при анализе отчетов о расследованиях в области безопасности на море</w:t>
      </w:r>
    </w:p>
    <w:p w:rsidR="00800735" w:rsidRPr="00BC6A5D" w:rsidRDefault="00491A6C" w:rsidP="004B2F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</w:t>
      </w:r>
      <w:r w:rsidR="00D810A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Подкомитета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III рассмотрела отчет Корреспондентской группы/CG в отношении анализа отчета о расследовании по безопасности на море и проекты выводов, сделанных на основании аварий на море.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735" w:rsidRPr="00BC6A5D" w:rsidRDefault="00800735" w:rsidP="004B2F1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Вопросы безопасности, требующие дальнейшего рассмотрения</w:t>
      </w:r>
    </w:p>
    <w:p w:rsidR="00800735" w:rsidRPr="00BC6A5D" w:rsidRDefault="00800735" w:rsidP="004B2F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Было отмечено, что необходимо проводить больше исследований для установления того, был ли это потенциальный вопрос безопасности, и что более сфокусированные и скоординированные усилия небольшой группы аналитиков могут подсказать перспективное решение.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735" w:rsidRPr="00BC6A5D" w:rsidRDefault="00800735" w:rsidP="004B2F1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Контроль за исполнением вопросов безопасности соответствующими комитетами и подкомитетами</w:t>
      </w:r>
    </w:p>
    <w:p w:rsidR="00800735" w:rsidRPr="00BC6A5D" w:rsidRDefault="00800735" w:rsidP="004B2F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Некоторые делегации напомнили о практике рассмотрения результатов анализа аварий на постоянной основе в качестве постоянной повестки дня других подкомитетов для принятия соответствующих мер.</w:t>
      </w:r>
    </w:p>
    <w:p w:rsidR="00800735" w:rsidRPr="00BC6A5D" w:rsidRDefault="00800735" w:rsidP="004B2F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Подкомитет принял решение просить Комитеты возобновить включение таких результатов в повестку дня других подкомитетов с тем, чтобы предпринимать неотложные меры по вопросам безопасности и недостаткам в области безопасности, полученным от Подкомитета, отмечая, что такие действия будут способствовать соответствию результирующей структуре SMART, предложенной Советом. Соответственно, Процедура анализа аварий может быть впоследствии переработана.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735" w:rsidRPr="00BC6A5D" w:rsidRDefault="00800735" w:rsidP="004B2F1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Поправка к процедуре анализа аварий</w:t>
      </w:r>
    </w:p>
    <w:p w:rsidR="00800735" w:rsidRPr="00BC6A5D" w:rsidRDefault="00800735" w:rsidP="004B2F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Было внесено уточнение, что процедура, разработанная в ходе работы 5 сессии Подкомитета III для определения вопросов безопасности («Процедура»), рассматривалась на 101 сессии КБМ Рабочей группой по формализованной оценке безопасности (FSA) с целью проанализировать критерии оценки рисков, приведенные в Процедуре.</w:t>
      </w:r>
    </w:p>
    <w:p w:rsidR="00800735" w:rsidRPr="00BC6A5D" w:rsidRDefault="00637E9E" w:rsidP="004B2F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В</w:t>
      </w:r>
      <w:r w:rsidR="00800735"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="00800735"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Рабочей группы по FSA на 102 сессии КБМ указывалось, что:</w:t>
      </w:r>
      <w:r w:rsidR="00800735"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-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критерии оценки рисков в Процедуре (III 5/15, приложение 2) был</w:t>
      </w:r>
      <w:r w:rsidR="00B746F1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признаны несоответствующими;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-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Процедура, в</w:t>
      </w:r>
      <w:r w:rsidR="00B83B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существующем варианте, не служит своей цели использования для оценки риска, имеющей приоритет в вопросах безопасности для безотлагательных действий, и должна быть усовершенствована с учетом комментариев, приведенных в пункте 13 документа </w:t>
      </w:r>
      <w:r w:rsidR="00D810A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MSC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102/12. 27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735" w:rsidRPr="00BC6A5D" w:rsidRDefault="00800735" w:rsidP="004B2F1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Отчеты по изучению безопасности на море и предложение в отношении новых результатов для внесения поправок в Кодекс расследования аварий</w:t>
      </w:r>
    </w:p>
    <w:p w:rsidR="00800735" w:rsidRPr="00BC6A5D" w:rsidRDefault="00800735" w:rsidP="004B2F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Некоторые члены Группы согласились, что положение в модуле MCI ГИСИС может быть полезным для обеспечения статуса ведущихся расследований, таких как этап сбора доказательств, этап анализа, этап консультирования или окончательный этап. </w:t>
      </w:r>
    </w:p>
    <w:p w:rsidR="00800735" w:rsidRPr="00BC6A5D" w:rsidRDefault="00800735" w:rsidP="004B2F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Было рекомендовано, что дополнительное положение в новой систематизации ГИСИС модуля MCI (расследования аварий и столкновений на море) может стать перспективным решением.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735" w:rsidRPr="00BC6A5D" w:rsidRDefault="00800735" w:rsidP="004B2F1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Вывод</w:t>
      </w:r>
      <w:r w:rsidR="000874C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ы</w:t>
      </w:r>
      <w:r w:rsidRPr="004B2F13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, сделанные в результате аварий морских судов при затрудненном наблюдении в узких каналах</w:t>
      </w:r>
      <w:r w:rsidR="000874C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,</w:t>
      </w:r>
      <w:r w:rsidRPr="004B2F13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и соответствующие превентивные меры</w:t>
      </w:r>
    </w:p>
    <w:p w:rsidR="00800735" w:rsidRPr="00BC6A5D" w:rsidRDefault="00800735" w:rsidP="004B2F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Было отмечено, что соответствующие отчеты о расследованиях пока недоступны в модуле MCI ГИСИС, и предложено государствам, проводящим расследования в области безопасности на море</w:t>
      </w:r>
      <w:r w:rsidR="000874C7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загрузить отчеты в ГИСИС.</w:t>
      </w:r>
    </w:p>
    <w:p w:rsidR="00800735" w:rsidRPr="00BC6A5D" w:rsidRDefault="00800735" w:rsidP="004B2F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 сделан вывод, что после появления таких отчетов о расследованиях в модуле MCI ГИСИС вопрос будет передан Корреспондентской группе/CG обычным путем для проведения анализа отчетов и определения вопросов безопасности и/или выводов, а также будет представлен на рассмотрение Комитету/соответствующим </w:t>
      </w:r>
      <w:r w:rsidR="00D810AB">
        <w:rPr>
          <w:rFonts w:ascii="Times New Roman" w:eastAsia="Times New Roman" w:hAnsi="Times New Roman" w:cs="Times New Roman"/>
          <w:sz w:val="24"/>
          <w:szCs w:val="24"/>
          <w:lang w:bidi="ru-RU"/>
        </w:rPr>
        <w:t>Под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комитетам в установленном порядке.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735" w:rsidRPr="00BC6A5D" w:rsidRDefault="00012C06" w:rsidP="0018638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Отчеты о расследовании в области безопасности на море</w:t>
      </w:r>
    </w:p>
    <w:p w:rsidR="00800735" w:rsidRPr="00BC6A5D" w:rsidRDefault="00800735" w:rsidP="001863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Было отмечено, что отчет точно описывает характер проблем, большинство из которых находятся под контролем Организации. Важно, чтобы были пересмотрены такие инструменты, как Международный кодекс остойчивости неповрежд</w:t>
      </w:r>
      <w:r w:rsidR="000874C7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нных судов, 2008 г. (IS </w:t>
      </w:r>
      <w:proofErr w:type="spellStart"/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Code</w:t>
      </w:r>
      <w:proofErr w:type="spellEnd"/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), Кодекс безопасной практики размещения и крепления груза (CSS </w:t>
      </w:r>
      <w:proofErr w:type="spellStart"/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Code</w:t>
      </w:r>
      <w:proofErr w:type="spellEnd"/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) и руководства, такие как MSC.1/Circ.1228.</w:t>
      </w:r>
    </w:p>
    <w:p w:rsidR="00186387" w:rsidRPr="00BC6A5D" w:rsidRDefault="00800735" w:rsidP="001863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Также было отмечено, что в существующем стандарте о РДР MSC.333(90) указывается, что электронные инклинометры должны регистрироваться «если установлены», поэтому не потребуется внесения поправок в стандарт о РДР, если наличие электронных инклинометров станет обязательным. </w:t>
      </w:r>
    </w:p>
    <w:p w:rsidR="00800735" w:rsidRPr="00BC6A5D" w:rsidRDefault="00800735" w:rsidP="001863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Наличие электронных инклинометров уже было предложено в качестве рабочего вопроса на 9 сессии Подкомитета ИМО по мореплаванию, связи, поиску и спасанию/NCSR, и будет крайне целесообразно для последующих расследований в области безопасности более широко рассмотреть их наличие там, где представляется такая возможность.</w:t>
      </w:r>
    </w:p>
    <w:p w:rsidR="00800735" w:rsidRPr="00BC6A5D" w:rsidRDefault="00800735" w:rsidP="001863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Были отмечены преимущества более широкого применения инклинометров в судоходной индустрии, когда угол крена и соответствующие ускорения стали причинами падения контейнеров за борт, и большинство поддержало обязательную установку инклинометров на всех судах СОЛАС дедвейтом свыше 3 000, а также регистрацию таких датчиков в судово</w:t>
      </w:r>
      <w:r w:rsidR="00D810AB"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регистраторе данных рейса для улучшения качества расследований в области безопасности.</w:t>
      </w:r>
    </w:p>
    <w:p w:rsidR="00800735" w:rsidRPr="00BC6A5D" w:rsidRDefault="00186387" w:rsidP="001863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Подкомитет призвал КБМ принять документ к сведению и рассмотреть при</w:t>
      </w:r>
      <w:r w:rsidR="000874C7">
        <w:rPr>
          <w:rFonts w:ascii="Times New Roman" w:eastAsia="Times New Roman" w:hAnsi="Times New Roman" w:cs="Times New Roman"/>
          <w:sz w:val="24"/>
          <w:szCs w:val="24"/>
          <w:lang w:bidi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ятие соответствующих мер.</w:t>
      </w:r>
    </w:p>
    <w:p w:rsidR="00800735" w:rsidRPr="00BC6A5D" w:rsidRDefault="00186387" w:rsidP="001863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Было согласовано следующее:</w:t>
      </w:r>
    </w:p>
    <w:p w:rsidR="00800735" w:rsidRPr="00BC6A5D" w:rsidRDefault="00186387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- Добавить положение в систематизацию модуля ГИСИС, которое могло бы стать перспективным решением для наблюдения за ходом расследования, а не для внесения поправок в Кодекс расследования аварий;</w:t>
      </w:r>
    </w:p>
    <w:p w:rsidR="00800735" w:rsidRPr="00BC6A5D" w:rsidRDefault="00186387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 Передать КБМ предложение в отношении проектирования, установки, обслуживания, проверки и эксплуатации подъемников;</w:t>
      </w:r>
    </w:p>
    <w:p w:rsidR="00800735" w:rsidRPr="00BC6A5D" w:rsidRDefault="00186387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Рассмотреть на 8 сессии Подкомитета III следующие вопросы: </w:t>
      </w:r>
    </w:p>
    <w:p w:rsidR="00800735" w:rsidRPr="00BC6A5D" w:rsidRDefault="00186387" w:rsidP="001863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 Случаи падения человека за борт на рыболовных судах</w:t>
      </w:r>
    </w:p>
    <w:p w:rsidR="00800735" w:rsidRPr="00BC6A5D" w:rsidRDefault="00186387" w:rsidP="001863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 Увеличение количества несоответствий в отношении лоцманских трапов, обнаруженных на судах СОЛАС.</w:t>
      </w:r>
    </w:p>
    <w:p w:rsidR="00800735" w:rsidRPr="00BC6A5D" w:rsidRDefault="00186387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 Возобновить Корреспондентскую группу по анализу отчетов о расследовании в области безопасности на море и создать Рабочую/Проектную группу по анализу отчетов о безопасности на море на 8 сессии Подкомитета III.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735" w:rsidRPr="00BC6A5D" w:rsidRDefault="00800735" w:rsidP="009B756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756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Меры по глобальной гармонизации деятельности и процедур в рамках контроля судов государством порта (КСГП)</w:t>
      </w:r>
    </w:p>
    <w:p w:rsidR="00800735" w:rsidRPr="00BC6A5D" w:rsidRDefault="00800735" w:rsidP="009B7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Подкомитет напомнил, что К</w:t>
      </w:r>
      <w:r w:rsidR="00D810AB">
        <w:rPr>
          <w:rFonts w:ascii="Times New Roman" w:eastAsia="Times New Roman" w:hAnsi="Times New Roman" w:cs="Times New Roman"/>
          <w:sz w:val="24"/>
          <w:szCs w:val="24"/>
          <w:lang w:bidi="ru-RU"/>
        </w:rPr>
        <w:t>орреспондентской группой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было разработано дополнительное руководство в соответствии с приложением 7 к Процедурам контроля государством порта к Руководству по контролю эксплуатационных требований, но до сих пор имеются открытые вопросы, с которым</w:t>
      </w:r>
      <w:r w:rsidR="007B7189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 может согласиться КГ.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561" w:rsidRPr="00BC6A5D" w:rsidRDefault="00800735" w:rsidP="009B756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756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Электронный журнал грузовых операций</w:t>
      </w:r>
    </w:p>
    <w:p w:rsidR="009B7561" w:rsidRPr="00BC6A5D" w:rsidRDefault="00800735" w:rsidP="009B7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Также было упомянуто, что КГ разработала образец формы для упрощения подтверждения грузовых операций в электронном Журнале грузовых операций, но высказала мнение, что временного руководства для инспекторов не потребуется. </w:t>
      </w:r>
    </w:p>
    <w:p w:rsidR="00800735" w:rsidRPr="00BC6A5D" w:rsidRDefault="00800735" w:rsidP="009B756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Было отмечено, что государства-участники могут составить отдельную форму или предоставить копию отчета инспектора как приложение к записи в электронном журнале грузовых операций.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735" w:rsidRPr="00BC6A5D" w:rsidRDefault="00800735" w:rsidP="009B756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561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Составление отчета о потреблении топлива</w:t>
      </w:r>
    </w:p>
    <w:p w:rsidR="00800735" w:rsidRPr="00BC6A5D" w:rsidRDefault="00800735" w:rsidP="009B7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Некоторые делегации предложили удалить Деклараци</w:t>
      </w:r>
      <w:r w:rsidR="007B7189">
        <w:rPr>
          <w:rFonts w:ascii="Times New Roman" w:eastAsia="Times New Roman" w:hAnsi="Times New Roman" w:cs="Times New Roman"/>
          <w:sz w:val="24"/>
          <w:szCs w:val="24"/>
          <w:lang w:bidi="ru-RU"/>
        </w:rPr>
        <w:t>ю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 соответствии - Отчетность о потреблении топлива из приведенного выше перечня, указывая, что в некоторых случаях при смене флага судна или компании Декларация о соответствии - Отчетность о потреблении топлива может еще отсутствовать на момент проверки.</w:t>
      </w:r>
    </w:p>
    <w:p w:rsidR="00800735" w:rsidRPr="00BC6A5D" w:rsidRDefault="00800735" w:rsidP="009B7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Другие делегации, признавая, что в некоторых случаях суда могут не иметь возможности получить Декларацию о соответствии - Отчетность о потреблении топлива вследствие смены флага или компании, возражали против удаления Декларации о соответствии - Отчетность о потреблении топлива из вышеупомянутого перечня, поддерживая и</w:t>
      </w:r>
      <w:r w:rsidR="007B7189">
        <w:rPr>
          <w:rFonts w:ascii="Times New Roman" w:eastAsia="Times New Roman" w:hAnsi="Times New Roman" w:cs="Times New Roman"/>
          <w:sz w:val="24"/>
          <w:szCs w:val="24"/>
          <w:lang w:bidi="ru-RU"/>
        </w:rPr>
        <w:t>д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ею о том, что государственный инспектор портового надзора должен использовать свое профессиональное суждение, принимая решение о задержании судна.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735" w:rsidRPr="00BC6A5D" w:rsidRDefault="00800735" w:rsidP="009B756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756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Финансовое обеспечение моряков в случаях оставления судна</w:t>
      </w:r>
    </w:p>
    <w:p w:rsidR="009B7561" w:rsidRPr="00BC6A5D" w:rsidRDefault="00800735" w:rsidP="009B7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отмечено, что может потребоваться внесение поправок в отчет инспектора государственного портового контроля (приложение 13 Процедур). </w:t>
      </w:r>
    </w:p>
    <w:p w:rsidR="00800735" w:rsidRPr="00BC6A5D" w:rsidRDefault="009B7561" w:rsidP="009B7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Было принято решение возобновить работу Корреспондентской группы по мерам глобальной гармонизации деятельности и процедур в рамках контроля судов государством порта (КСГП) для рассмотрения поправок в отчет о проверке портовыми властями в приложении 13 Процедур для включения в него информации, касающейся срока действия и контактной информации о гарантах финансовой безопасности страховых сертификатов в соответствии с требованиями МОТ 2006 г. с поправками.</w:t>
      </w:r>
    </w:p>
    <w:p w:rsidR="00800735" w:rsidRPr="00BC6A5D" w:rsidRDefault="00A776F2" w:rsidP="009B7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Касательно</w:t>
      </w:r>
      <w:r w:rsidR="00800735"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проведения </w:t>
      </w:r>
      <w:r w:rsidR="009549E6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C725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онцентрированных </w:t>
      </w:r>
      <w:r w:rsidR="009549E6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C725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нспекционных </w:t>
      </w:r>
      <w:r w:rsidR="009549E6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C725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омпаний </w:t>
      </w:r>
      <w:r w:rsidR="009549E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(КИК - </w:t>
      </w:r>
      <w:r w:rsidR="009549E6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CIC</w:t>
      </w:r>
      <w:r w:rsidR="009549E6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="00800735"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финансовому обеспечению в отношении поправок 2014 г. к МОТ 2006 г., некоторые режимы КСГП указывают, что </w:t>
      </w:r>
      <w:r w:rsidR="009549E6">
        <w:rPr>
          <w:rFonts w:ascii="Times New Roman" w:eastAsia="Times New Roman" w:hAnsi="Times New Roman" w:cs="Times New Roman"/>
          <w:sz w:val="24"/>
          <w:szCs w:val="24"/>
          <w:lang w:bidi="ru-RU"/>
        </w:rPr>
        <w:t>хотя</w:t>
      </w:r>
      <w:r w:rsidR="00800735"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они не возражают против КИ</w:t>
      </w:r>
      <w:r w:rsidR="009549E6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800735"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финансовому </w:t>
      </w:r>
      <w:r w:rsidR="00800735"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обеспечению в отношении поправок 2014 г. к МОТ 2006 г., </w:t>
      </w:r>
      <w:r w:rsidR="009549E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но </w:t>
      </w:r>
      <w:r w:rsidR="00800735"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они уже запланировали свои КИ</w:t>
      </w:r>
      <w:r w:rsidR="009549E6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800735"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следующие четыре-пять лет и на этом этапе будет сложно включить дополнительные КИ</w:t>
      </w:r>
      <w:r w:rsidR="009549E6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800735"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. Режимы КСГП указывают, что может появиться возможность добавить вопрос о финансовой безопасности в любые следующие соответствующие КИ</w:t>
      </w:r>
      <w:r w:rsidR="009549E6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bookmarkStart w:id="0" w:name="_GoBack"/>
      <w:bookmarkEnd w:id="0"/>
      <w:r w:rsidR="00800735"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, если запрос будет достаточно конкретным.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735" w:rsidRPr="00BC6A5D" w:rsidRDefault="00800735" w:rsidP="009B756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756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Согласованное внедрение предела содержания серы 0,50%</w:t>
      </w:r>
    </w:p>
    <w:p w:rsidR="009B7561" w:rsidRPr="00BC6A5D" w:rsidRDefault="00800735" w:rsidP="009B7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согласовано, что нет необходимости разрабатывать дополнительные руководства КСГП для достижения согласованного соблюдения предела содержания серы 0,50% в проверках КСГП. </w:t>
      </w:r>
    </w:p>
    <w:p w:rsidR="00800735" w:rsidRPr="00BC6A5D" w:rsidRDefault="00800735" w:rsidP="009B7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Помимо этого, большинство делегаций придерживалось мнения, что вопросы в отношении разночтений в соблюдении предела содержания серы 0,50% не находились в области рассмотрения Подкомитета и должны быть переданы соответствующему органу ИМО.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735" w:rsidRPr="00BC6A5D" w:rsidRDefault="00800735" w:rsidP="009B756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756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Разработка руководства для инспекторов государственного портового контроля (ДЛОК) по приостановке проверки процедур КСГП</w:t>
      </w:r>
    </w:p>
    <w:p w:rsidR="00800735" w:rsidRPr="00BC6A5D" w:rsidRDefault="00800735" w:rsidP="009B7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Было согласовано возобновить Корреспондентскую группу по мерам глобальной гармонизации деятельности и процедур в рамках контроля судов государством порта (КСГП) для рассмотрения вопроса разработки руководства для инспекторов КСГП по приостановке проверки для включения в Процедуры.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735" w:rsidRPr="00BC6A5D" w:rsidRDefault="00800735" w:rsidP="009B756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756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Дистанционные проверки КСГП</w:t>
      </w:r>
    </w:p>
    <w:p w:rsidR="00800735" w:rsidRPr="00BC6A5D" w:rsidRDefault="00800735" w:rsidP="009B7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Некоторые делегации отметили, что несмотря на то, что они признают, что пандемия</w:t>
      </w:r>
      <w:r w:rsidR="00B83B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COVID-19 вынудила некоторые </w:t>
      </w:r>
      <w:r w:rsidR="00D810AB">
        <w:rPr>
          <w:rFonts w:ascii="Times New Roman" w:eastAsia="Times New Roman" w:hAnsi="Times New Roman" w:cs="Times New Roman"/>
          <w:sz w:val="24"/>
          <w:szCs w:val="24"/>
          <w:lang w:bidi="ru-RU"/>
        </w:rPr>
        <w:t>органы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D810AB">
        <w:rPr>
          <w:rFonts w:ascii="Times New Roman" w:eastAsia="Times New Roman" w:hAnsi="Times New Roman" w:cs="Times New Roman"/>
          <w:sz w:val="24"/>
          <w:szCs w:val="24"/>
          <w:lang w:bidi="ru-RU"/>
        </w:rPr>
        <w:t>КСГП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ввести дистанционные проверки </w:t>
      </w:r>
      <w:r w:rsidR="00D810AB">
        <w:rPr>
          <w:rFonts w:ascii="Times New Roman" w:eastAsia="Times New Roman" w:hAnsi="Times New Roman" w:cs="Times New Roman"/>
          <w:sz w:val="24"/>
          <w:szCs w:val="24"/>
          <w:lang w:bidi="ru-RU"/>
        </w:rPr>
        <w:t>КСГП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, они не могут поддержать предложенные поправки.</w:t>
      </w:r>
    </w:p>
    <w:p w:rsidR="00800735" w:rsidRPr="004B2F13" w:rsidRDefault="009B7561" w:rsidP="009B7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Было согласовано следующее:</w:t>
      </w:r>
    </w:p>
    <w:p w:rsidR="00800735" w:rsidRPr="00BC6A5D" w:rsidRDefault="00800735" w:rsidP="009B756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Возобновить Корреспондентскую группу по мерам глобальной гармонизации деятельности и процедур в рамках контроля судов государством порта (КСГП);</w:t>
      </w:r>
    </w:p>
    <w:p w:rsidR="00800735" w:rsidRPr="00BC6A5D" w:rsidRDefault="00800735" w:rsidP="000E645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Призвать Подкомитет ИМО по предупреждению загрязнения и реагированию</w:t>
      </w:r>
      <w:r w:rsidR="00A776F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PPR</w:t>
      </w:r>
      <w:r w:rsidR="00A776F2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рассмотреть пересмотренный вариант Руководства 2011 г. по проверке противообрастающих систем на судах (MEPC.208(62)) в Подкомитете III с целью включить его в Процедуры в качестве нового приложения к Процедурам и не издавать в качестве отдельного руководства;</w:t>
      </w:r>
    </w:p>
    <w:p w:rsidR="00800735" w:rsidRPr="004B2F13" w:rsidRDefault="00800735" w:rsidP="000E645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Просить КБМ предоставить полномочия</w:t>
      </w:r>
      <w:r w:rsidR="00D810A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Подкомитета 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III для анализа Руководств</w:t>
      </w:r>
      <w:r w:rsidR="00575EB9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мерам контроля за выполнением требований по усилению охраны на море (MSC.159(78)) с целью включения в последующую версию Процедур по контролю государства порта.</w:t>
      </w:r>
    </w:p>
    <w:p w:rsidR="00800735" w:rsidRPr="004B2F13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0735" w:rsidRPr="008B6731" w:rsidRDefault="00800735" w:rsidP="008B6731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B673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Анализ сводных отчетов о проверках</w:t>
      </w:r>
    </w:p>
    <w:p w:rsidR="00800735" w:rsidRPr="00BC6A5D" w:rsidRDefault="00800735" w:rsidP="008B673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После одобрения 103 сессией КБМ и 76 сессией КЗМС дополнительного результата разработки руководства в отношении Программы проверки государства-члена ИМО (IMSAS) для содействия внедрению государствами-участниками Кодекса по осуществлению документов ИМО (Кодекс ОДИ</w:t>
      </w:r>
      <w:r w:rsidR="00A776F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- 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III </w:t>
      </w:r>
      <w:proofErr w:type="spellStart"/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Code</w:t>
      </w:r>
      <w:proofErr w:type="spellEnd"/>
      <w:r w:rsidR="00A776F2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включения его в повестку двухгодичного периода Подкомитета III на 2022-2023 гг., Подкомитет призвал рассмотреть вопрос о создании Корреспондентской группы, которая будет работать в межсессионный период, который будет согласован Подкомитетом.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735" w:rsidRPr="00BC6A5D" w:rsidRDefault="00800735" w:rsidP="008B6731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673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Рассмотрение анализа четырех сводных отчетов о проверках (CASR)</w:t>
      </w:r>
    </w:p>
    <w:p w:rsidR="00800735" w:rsidRPr="00BC6A5D" w:rsidRDefault="00800735" w:rsidP="008B67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КБМ и КЗМС одобрили рассмотрение следующих элементов:</w:t>
      </w:r>
    </w:p>
    <w:p w:rsidR="00800735" w:rsidRPr="00BC6A5D" w:rsidRDefault="00800735" w:rsidP="00045B2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Основные области с недостаточной эффективностью в применении и исполнении соответствующих обязательных инструментов ИМО и Кодекса ОДИ;</w:t>
      </w:r>
    </w:p>
    <w:p w:rsidR="00800735" w:rsidRPr="00BC6A5D" w:rsidRDefault="00800735" w:rsidP="00045B2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Периодические ссылки на требования обязательных инструментов ИМО;</w:t>
      </w:r>
    </w:p>
    <w:p w:rsidR="00800735" w:rsidRPr="00BC6A5D" w:rsidRDefault="00800735" w:rsidP="00045B2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Основные области коренных причин и конкретных вопросов/сложностей в каждой зоне для большинства зон повторяющихся результатов/наблюдений;</w:t>
      </w:r>
    </w:p>
    <w:p w:rsidR="00800735" w:rsidRPr="00BC6A5D" w:rsidRDefault="00800735" w:rsidP="00045B2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Установленная потребность дополнительного содействия государствам-участникам в основных повторяющихся </w:t>
      </w:r>
      <w:r w:rsidR="00575EB9">
        <w:rPr>
          <w:rFonts w:ascii="Times New Roman" w:eastAsia="Times New Roman" w:hAnsi="Times New Roman" w:cs="Times New Roman"/>
          <w:sz w:val="24"/>
          <w:szCs w:val="24"/>
          <w:lang w:bidi="ru-RU"/>
        </w:rPr>
        <w:t>областях результатов/наблюдений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повторяющихся положений обязательных инструментов ИМО;</w:t>
      </w:r>
    </w:p>
    <w:p w:rsidR="00800735" w:rsidRPr="00BC6A5D" w:rsidRDefault="00800735" w:rsidP="00045B2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Анализ эффективности и целесообразности установленных положений обязательных инструментов ИМО;</w:t>
      </w:r>
    </w:p>
    <w:p w:rsidR="00800735" w:rsidRPr="00BC6A5D" w:rsidRDefault="00800735" w:rsidP="00045B2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Журнал учета положений, рекомендованных для анализа и последующих действий соответствующих органов ИМО;</w:t>
      </w:r>
    </w:p>
    <w:p w:rsidR="00800735" w:rsidRPr="00BC6A5D" w:rsidRDefault="00800735" w:rsidP="00045B2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Постоянное использование элементов методологии в последующих рассмотрениях анализа сводных отчетов о проверках</w:t>
      </w:r>
      <w:r w:rsidR="00A776F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CASR</w:t>
      </w:r>
      <w:r w:rsidR="00A776F2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735" w:rsidRPr="00BC6A5D" w:rsidRDefault="00491A6C" w:rsidP="00216B1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</w:t>
      </w:r>
      <w:r w:rsidR="00D810A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Подкомитета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III рекомендовала Комитетам представить отчет Совету по результатам рассмотрения </w:t>
      </w:r>
      <w:r w:rsidR="00D810A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ими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сводных отчетов о проверках после обязательных проверок, на основании решений, вынесенных КЗМС и КБМ в соответствии с обратной связью, представленной 7 сессией </w:t>
      </w:r>
      <w:r w:rsidR="00D810A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Подкомитета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III, включая решения о рассмотрении установленных положений обязательных инструментов ИМО соответствующими органами.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735" w:rsidRPr="00BC6A5D" w:rsidRDefault="00800735" w:rsidP="00216B1A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B1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Список свидетельств и документов, которые должны храниться на борту судна</w:t>
      </w:r>
    </w:p>
    <w:p w:rsidR="00800735" w:rsidRPr="00BC6A5D" w:rsidRDefault="00800735" w:rsidP="00216B1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согласовано актуализировать и включить вопросы, относящиеся к поправкам к Приложениям I, IV и VI МАРПОЛ в отношении сокращения </w:t>
      </w:r>
      <w:proofErr w:type="spellStart"/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углеродоемкости</w:t>
      </w:r>
      <w:proofErr w:type="spellEnd"/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международного судоходства и необслуживаемых несамоходных барж (UNSP), принятых резолюциями MEPC.330(76) и MEPC.328(76) соответственно, в поправки к списку свидетельств и докуме</w:t>
      </w:r>
      <w:r w:rsidR="00585828">
        <w:rPr>
          <w:rFonts w:ascii="Times New Roman" w:eastAsia="Times New Roman" w:hAnsi="Times New Roman" w:cs="Times New Roman"/>
          <w:sz w:val="24"/>
          <w:szCs w:val="24"/>
          <w:lang w:bidi="ru-RU"/>
        </w:rPr>
        <w:t>нтов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заключить эти позиции в квадратные скобки в зависимости от принятия в соответствии с процедурой вступления в силу.</w:t>
      </w:r>
    </w:p>
    <w:p w:rsidR="00800735" w:rsidRPr="00BC6A5D" w:rsidRDefault="00800735" w:rsidP="00216B1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Кроме того, были одобрены рекомендации Корреспондентской группы в отношении того, что план применения последовательного внедрения предельного значения серы 0,5% в соответствии с требованиями Приложения VI МАРПОЛ, как указывается в MEPC.1/Circ.878 о Руководстве по разработке судового плана применения последовательного внедрения</w:t>
      </w:r>
      <w:r w:rsidR="00B83B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предельного значения серы 0,5% в соответствии с требованиями Приложения VI МАРПОЛ</w:t>
      </w:r>
      <w:r w:rsidR="00585828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 должен быть включен в список документов, которые должны храниться на борту судна в контексте Списка свидетельств и документов, поскольку это не является обязательным требованием.</w:t>
      </w:r>
    </w:p>
    <w:p w:rsidR="00800735" w:rsidRPr="00BC6A5D" w:rsidRDefault="00800735" w:rsidP="00216B1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Проект поправок к FAL.2/Circ.131- MEPC.1/Circ.873-MSC.1/Circ.1586-LEG.2/Circ.3 в отношении Списка свидетельств и документов, которые должны храниться на борту судна, 2017 г., будет представлен в сводной форме</w:t>
      </w:r>
      <w:r w:rsidR="00B83B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77 сессии КЗМС, 109 сессии ЮРКОМ, 105 сессии КБМ и 46 сессии Комитета по упрощению формальностей</w:t>
      </w:r>
      <w:r w:rsidR="00A776F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FAL</w:t>
      </w:r>
      <w:r w:rsidR="00A776F2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, соответствующим образом, для его одобрения.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735" w:rsidRPr="00BC6A5D" w:rsidRDefault="00800735" w:rsidP="00216B1A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B1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Поправки к руководств</w:t>
      </w:r>
      <w:r w:rsidR="0058582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у</w:t>
      </w:r>
      <w:r w:rsidRPr="00216B1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по освидетельствовани</w:t>
      </w:r>
      <w:r w:rsidR="0058582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ю</w:t>
      </w:r>
      <w:r w:rsidRPr="00216B1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на соответствие HSSC</w:t>
      </w:r>
    </w:p>
    <w:p w:rsidR="00800735" w:rsidRPr="00BC6A5D" w:rsidRDefault="00800735" w:rsidP="00216B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Рабочая группа рассмотрела и завершила работ</w:t>
      </w:r>
      <w:r w:rsidR="00585828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над проектом поправок к Руководству по проведению освидетельствований на соответствие гармонизированной системе освидетельствования и сертификации (HSSC) 2019 г. (A.1140(31)), выработанных на основании поправок к соответствующим обязательным инструментам, вступающих в силу до 31 декабря 2021 г. включительно.</w:t>
      </w:r>
    </w:p>
    <w:p w:rsidR="00800735" w:rsidRPr="00BC6A5D" w:rsidRDefault="00800735" w:rsidP="00216B1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Помимо прочего, пересмотренное Руководство будет включать в себя следующие элементы:</w:t>
      </w:r>
    </w:p>
    <w:p w:rsidR="00800735" w:rsidRPr="00BC6A5D" w:rsidRDefault="000B1E8C" w:rsidP="00216B1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Проект поправок к пункту освидетельствования (BI) 1.1.3.20 в отношении ввода в эксплуатацию системы УБВ был составлен на основании актуализированного Руководства 2020 г. по приемосдаточным испытаниям систем управления балластными водами (BWM.2/Circ.70/Rev.1);</w:t>
      </w:r>
    </w:p>
    <w:p w:rsidR="00800735" w:rsidRPr="00BC6A5D" w:rsidRDefault="000B1E8C" w:rsidP="004B2F1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Проект поправок к соответствующим пунктам освидетельствования был составлен таким образом, что просроченные батареи первичных элементов, отвечающие требованиям пункта 12.6 резолюции MSC.149 (77), не могут использоваться в каких-либо иных целях, кроме проверки и тестирования установки двусторонней радиосвязи УКВ-диапазона.</w:t>
      </w:r>
    </w:p>
    <w:p w:rsidR="00800735" w:rsidRPr="004B2F13" w:rsidRDefault="00491A6C" w:rsidP="009E58C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Подкомитета III:</w:t>
      </w:r>
    </w:p>
    <w:p w:rsidR="00800735" w:rsidRPr="00BC6A5D" w:rsidRDefault="00800735" w:rsidP="009E58C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Завершила работу над Руководством по проведению освидетельствований на соответствие гармонизированной системе освидетельствования и сертификации (HSSC), 2021 г., р</w:t>
      </w:r>
      <w:r w:rsidR="00D810AB">
        <w:rPr>
          <w:rFonts w:ascii="Times New Roman" w:eastAsia="Times New Roman" w:hAnsi="Times New Roman" w:cs="Times New Roman"/>
          <w:sz w:val="24"/>
          <w:szCs w:val="24"/>
          <w:lang w:bidi="ru-RU"/>
        </w:rPr>
        <w:t>азработанно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й на основании поправок к соответствующим обязательным инструментам, вступающих в силу до 31 декабря 2021 г. включительно.</w:t>
      </w:r>
      <w:r w:rsidR="00B83B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После принятия Руководство HSSC предположительно вступит в силу 1 января 2022 г.;</w:t>
      </w:r>
    </w:p>
    <w:p w:rsidR="00800735" w:rsidRPr="00BC6A5D" w:rsidRDefault="00800735" w:rsidP="009E58C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Завершила работу над Проектом поправок к соответствующим позициям освидетельствования</w:t>
      </w:r>
      <w:r w:rsidR="008510AE">
        <w:rPr>
          <w:rFonts w:ascii="Times New Roman" w:eastAsia="Times New Roman" w:hAnsi="Times New Roman" w:cs="Times New Roman"/>
          <w:sz w:val="24"/>
          <w:szCs w:val="24"/>
          <w:lang w:bidi="ru-RU"/>
        </w:rPr>
        <w:t>, который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 составлен таким образом, что просроченные батареи первичных элементов, отвечающие требованиям резолюции MSC.149 (77), не могут использоваться в каких-либо иных целях, кроме проверки и тестирования установки двусторонней радиосвязи УКВ-диапазона;</w:t>
      </w:r>
    </w:p>
    <w:p w:rsidR="00800735" w:rsidRPr="00BC6A5D" w:rsidRDefault="00800735" w:rsidP="009E58C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Завершила работу над перечнем поправок к обязательным инструментам, не включенным в Руководство по освидетельствованию с целью поддержания статуса обязательных позиций для последующих поправок к Руководству;</w:t>
      </w:r>
    </w:p>
    <w:p w:rsidR="00800735" w:rsidRPr="00BC6A5D" w:rsidRDefault="00800735" w:rsidP="009E58C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Согласовала возобновление работы Корреспондентской группы по проведению анализа Руководства по освидетельствованию в соответствии с HSSC и Неисчерпывающего списка обязательств в соответствии с Кодексом ИМО по осуществлению документов.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735" w:rsidRPr="00BC6A5D" w:rsidRDefault="00800735" w:rsidP="00765643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5643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Неисчерпывающий перечень обязательств в соответствии с документами, которые относятся к Кодексу по осуществлению документов ИМО (Кодекс ОДИ)</w:t>
      </w:r>
    </w:p>
    <w:p w:rsidR="00800735" w:rsidRPr="00BC6A5D" w:rsidRDefault="00491A6C" w:rsidP="0076564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</w:t>
      </w:r>
      <w:r w:rsidR="008510A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Подкомитета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III </w:t>
      </w:r>
      <w:r w:rsidR="00B83BD6">
        <w:rPr>
          <w:rFonts w:ascii="Times New Roman" w:eastAsia="Times New Roman" w:hAnsi="Times New Roman" w:cs="Times New Roman"/>
          <w:sz w:val="24"/>
          <w:szCs w:val="24"/>
          <w:lang w:bidi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ассмотрела часть отчета Корреспондентской группы «Анализ Руководства по освидетельствованию на соответствие HSSC и Неисчерпывающий список обязательств» и завершила список новых требований на основании поправок к обязательным инструментам, которые вступили в силу 1 июля 2021 г.</w:t>
      </w:r>
    </w:p>
    <w:p w:rsidR="00800735" w:rsidRPr="00BC6A5D" w:rsidRDefault="00800735" w:rsidP="0076564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Подкомитет отметил обсуждения по предлагаемым обязательствам государства флага, относящиеся к правилу II-1/3-1 СОЛАС, т.к. текст не соответствует СОЛАС. МАКО исправила ссылку на «ПО» в тексте на «классификационное общество».</w:t>
      </w:r>
    </w:p>
    <w:p w:rsidR="00800735" w:rsidRPr="00BC6A5D" w:rsidRDefault="00800735" w:rsidP="0076564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Окончательный согласованный текст представлен в следующем варианте: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643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«Для судов, которые не были спроектированы, построены ил</w:t>
      </w:r>
      <w:r w:rsidR="00207DA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и</w:t>
      </w:r>
      <w:r w:rsidRPr="00765643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не обслуживались в соответствии с требованиями классификационного общества, признанного Администрацией, Администрация должна иметь в распоряжении применимые национальные стандарты, обеспечивающие эквивалентный уровень безопасности».</w:t>
      </w:r>
    </w:p>
    <w:p w:rsidR="00800735" w:rsidRPr="00BC6A5D" w:rsidRDefault="00800735" w:rsidP="00143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</w:t>
      </w:r>
      <w:r w:rsidR="008510A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Подкомитета 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III согласилась с проектом поправок к Неисчерпывающему списку обязательств 2019 г. в соответствии с инструментами, относящимися к Кодексу по осуществлению документов ИМО (A.1141(31)), а также с проектом обязательной резолюции Ассамблеи с целью представления на 104 сессию КБМ (октябрь 2021 г.) и 77 сессию КЗМС (ноябрь 2021 г.) для одобрения до представления, в сводной форме, на 32 Ассамблею (декабрь 2021 г.) для принятия.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735" w:rsidRPr="00BC6A5D" w:rsidRDefault="00800735" w:rsidP="00143BB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BB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Унифицированная интерпретация положений конвенций ИМО, относящихся к безопасности, охране и окружающей среде</w:t>
      </w:r>
    </w:p>
    <w:p w:rsidR="007C7C6E" w:rsidRPr="00BC6A5D" w:rsidRDefault="00491A6C" w:rsidP="00143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 сессия</w:t>
      </w:r>
      <w:r w:rsidR="008510A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Подкомитета</w:t>
      </w:r>
      <w:r w:rsidR="00E9253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III</w:t>
      </w:r>
      <w:r w:rsidR="008510A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представить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ранее рассмотрела информацию, представленную по определениям и управление «рекомендациями» или «условиями класса» в правилах классификационных обществ, и определила фразы, в которых различные термины используются классификационными обществами для аналогичных действий.</w:t>
      </w:r>
    </w:p>
    <w:p w:rsidR="00800735" w:rsidRPr="00BC6A5D" w:rsidRDefault="00491A6C" w:rsidP="00143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 5 сессия </w:t>
      </w:r>
      <w:r w:rsidR="00E92531">
        <w:rPr>
          <w:rFonts w:ascii="Times New Roman" w:eastAsia="Times New Roman" w:hAnsi="Times New Roman" w:cs="Times New Roman"/>
          <w:sz w:val="24"/>
          <w:szCs w:val="24"/>
          <w:lang w:bidi="ru-RU"/>
        </w:rPr>
        <w:t>Подкомитета III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призвала членов МАКО унифицировать язык, а классификационные общества-члены МАКО принять термин «условия класса» для всех обязательных вопросов классификации.</w:t>
      </w:r>
    </w:p>
    <w:p w:rsidR="00800735" w:rsidRPr="00BC6A5D" w:rsidRDefault="00491A6C" w:rsidP="007C7C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</w:t>
      </w:r>
      <w:r w:rsidR="00E92531">
        <w:rPr>
          <w:rFonts w:ascii="Times New Roman" w:eastAsia="Times New Roman" w:hAnsi="Times New Roman" w:cs="Times New Roman"/>
          <w:sz w:val="24"/>
          <w:szCs w:val="24"/>
          <w:lang w:bidi="ru-RU"/>
        </w:rPr>
        <w:t>Подкомитета III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отметила, что МАКО внесла поправки в соответствующие резолюции, включая процедурные требования и рекомендации, удалив термин «рекомендация» и оставив «условия класса».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735" w:rsidRPr="00BC6A5D" w:rsidRDefault="00800735" w:rsidP="007C7C6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C6E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Повестка на двухгодичный период и предварительная повестка дня 8 сессии Подкомитета III</w:t>
      </w:r>
    </w:p>
    <w:p w:rsidR="00800735" w:rsidRPr="00BC6A5D" w:rsidRDefault="00800735" w:rsidP="007C7C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Следующая сессия Подкомитета III (III</w:t>
      </w:r>
      <w:r w:rsidR="00A776F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8) предварительно запланирована к проведению с 25 по 29 июля 2022 г.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735" w:rsidRPr="00BC6A5D" w:rsidRDefault="00800735" w:rsidP="007C7C6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C6E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Выборы председателя и заместителя председателя на 2022 год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Подкомитет единодушно избрал г-жу </w:t>
      </w:r>
      <w:proofErr w:type="spellStart"/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Клаудиа</w:t>
      </w:r>
      <w:proofErr w:type="spellEnd"/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Грант/</w:t>
      </w:r>
      <w:proofErr w:type="spellStart"/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Ms</w:t>
      </w:r>
      <w:proofErr w:type="spellEnd"/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  <w:proofErr w:type="spellStart"/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Claudia</w:t>
      </w:r>
      <w:proofErr w:type="spellEnd"/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Grant</w:t>
      </w:r>
      <w:proofErr w:type="spellEnd"/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(Ямайка) Председателем и г-на Марека </w:t>
      </w:r>
      <w:proofErr w:type="spellStart"/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Раука</w:t>
      </w:r>
      <w:proofErr w:type="spellEnd"/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/</w:t>
      </w:r>
      <w:proofErr w:type="spellStart"/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Marek</w:t>
      </w:r>
      <w:proofErr w:type="spellEnd"/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Rauk</w:t>
      </w:r>
      <w:proofErr w:type="spellEnd"/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(Эстония) Заместителем Председателя на 2022 г.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735" w:rsidRPr="00BC6A5D" w:rsidRDefault="00800735" w:rsidP="0066538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38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Другие вопросы</w:t>
      </w:r>
    </w:p>
    <w:p w:rsidR="00800735" w:rsidRPr="00BC6A5D" w:rsidRDefault="00800735" w:rsidP="00665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Подкомитет принял к сведению предложение о внедрении Полярного кодекса (документ III</w:t>
      </w:r>
      <w:r w:rsidR="00A776F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7/14/2), с учетом результатов освидетельствования, проведенного Международным фондом защиты природы</w:t>
      </w:r>
      <w:r w:rsidR="00A776F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WWF</w:t>
      </w:r>
      <w:r w:rsidR="00A776F2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="00AD0680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информирования об исследовании, целью которого являлось определение вместимости в тоннах, </w:t>
      </w:r>
      <w:proofErr w:type="spellStart"/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эксплуатировавшейся</w:t>
      </w:r>
      <w:proofErr w:type="spellEnd"/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Арктическом и Антарктическом полярных районах с 2017 по 2019 гг.</w:t>
      </w:r>
    </w:p>
    <w:p w:rsidR="00800735" w:rsidRPr="00BC6A5D" w:rsidRDefault="00800735" w:rsidP="00665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В контексте потерь контейнеров в отношении потребности разработки эксплуатационных стандартов для судовых компьютеров загрузки и программного обеспечения в целях соответствия правилу VI/5.1 СОЛАС, Подкомитет</w:t>
      </w:r>
      <w:r w:rsidR="00B83B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отметил поддержку разработки эксплуатационных стандартов</w:t>
      </w:r>
      <w:r w:rsidR="00AD068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(пункт 22 документа III</w:t>
      </w:r>
      <w:r w:rsidR="00A776F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AD0680">
        <w:rPr>
          <w:rFonts w:ascii="Times New Roman" w:eastAsia="Times New Roman" w:hAnsi="Times New Roman" w:cs="Times New Roman"/>
          <w:sz w:val="24"/>
          <w:szCs w:val="24"/>
          <w:lang w:bidi="ru-RU"/>
        </w:rPr>
        <w:t>7/14/5)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призвал заинтересованные государства-участники и неправительственные организации</w:t>
      </w:r>
      <w:r w:rsidR="008510A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представить соответствующие</w:t>
      </w:r>
      <w:r w:rsidR="00E9253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510AE">
        <w:rPr>
          <w:rFonts w:ascii="Times New Roman" w:eastAsia="Times New Roman" w:hAnsi="Times New Roman" w:cs="Times New Roman"/>
          <w:sz w:val="24"/>
          <w:szCs w:val="24"/>
          <w:lang w:bidi="ru-RU"/>
        </w:rPr>
        <w:t>предложения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КБМ или Подкомитету ССС в надлежащем порядке.</w:t>
      </w:r>
    </w:p>
    <w:p w:rsidR="00800735" w:rsidRPr="00BC6A5D" w:rsidRDefault="00800735" w:rsidP="00665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Подкомитет также отметил информацию, представленную МАКО, в отношении ведущейся разработки унифицированной интерпретации, связанной с правилом VI/5.6 СОЛАС, которая будет представлена Организации после завершения работы.</w:t>
      </w:r>
    </w:p>
    <w:p w:rsidR="00800735" w:rsidRPr="00BC6A5D" w:rsidRDefault="00800735" w:rsidP="00665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отношении предполагаемого руководства по проведению дистанционных проверок 7 сессия </w:t>
      </w:r>
      <w:r w:rsidR="008510A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Подкомитета 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III отметила информацию, представленную на предварительную оценку, проводимую Европейским агентством по безопасности на море (EMSA),</w:t>
      </w:r>
      <w:r w:rsidR="00B83BD6" w:rsidRPr="00B83B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представившим программу дистанционного подтверждения и проверки для проведения аудитов по безопасности.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735" w:rsidRPr="00BC6A5D" w:rsidRDefault="00800735" w:rsidP="0066538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38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Анализ Типового соглашения о передаче полномочий признанным организациям, действующим от имени Администраций</w:t>
      </w:r>
    </w:p>
    <w:p w:rsidR="00800735" w:rsidRPr="00BC6A5D" w:rsidRDefault="00800735" w:rsidP="00665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Рекомендации Корреспондентской группы были одобрены в пункте 6.5.5 проекта циркуляра MSC-MEPC.5 о Типовом соглашении о передаче полномочий признанным организациям, действующим от имени Администрации, должны быть переработаны в соответствии с пунктом 5.3.2.4 части 3 Кодекса о признанных организациях</w:t>
      </w:r>
      <w:r w:rsidR="008510A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отношении объема конвенционных свидетельств и услуг по отношению к объему конвенционных свидетельств и услуг, в соответствии с опреде</w:t>
      </w:r>
      <w:r w:rsidR="00A776F2">
        <w:rPr>
          <w:rFonts w:ascii="Times New Roman" w:eastAsia="Times New Roman" w:hAnsi="Times New Roman" w:cs="Times New Roman"/>
          <w:sz w:val="24"/>
          <w:szCs w:val="24"/>
          <w:lang w:bidi="ru-RU"/>
        </w:rPr>
        <w:t>ле</w:t>
      </w:r>
      <w:r w:rsidR="008510AE">
        <w:rPr>
          <w:rFonts w:ascii="Times New Roman" w:eastAsia="Times New Roman" w:hAnsi="Times New Roman" w:cs="Times New Roman"/>
          <w:sz w:val="24"/>
          <w:szCs w:val="24"/>
          <w:lang w:bidi="ru-RU"/>
        </w:rPr>
        <w:t>нием Кодекса ПО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; и, в этом контексте, Группа согласилась со следующим текстом, как проектом пересмотренного текста пункта 6.5.5 проекта циркуляра MSC-MEPC.5 о Типовом соглашении о передаче полномочий признанным организациям, действующим от имени Администрации (III 6/15, приложение 8):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A6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«6.5 Другая отчетность: ……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A6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lastRenderedPageBreak/>
        <w:t>.5 ПО должна информировать Администрацию, по возможности скорее, обо всех опасных происшествиях, авариях, поломках механизмов или конструкций или неисправностях, относящихся к области обязательной сертификации и услуг, в соответствии с определениями Кодекса о ПО, о которых они должны знать на судне;…… .</w:t>
      </w:r>
    </w:p>
    <w:p w:rsidR="00800735" w:rsidRPr="00BC6A5D" w:rsidRDefault="00800735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735" w:rsidRPr="00BC6A5D" w:rsidRDefault="00800735" w:rsidP="006653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Предложенный проект пересмотренного текста пункта 6.5.5 проекта циркуляра MSC-MEPC.5 о Типовом соглашении о передаче полномочий признанным организациям, действующим от имени Администрации, будет представлен на 105 сессии КБМ и 78 сессии КЗМС для одобрения.</w:t>
      </w:r>
    </w:p>
    <w:p w:rsidR="004B2F13" w:rsidRPr="00BC6A5D" w:rsidRDefault="004B2F13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F13" w:rsidRPr="00BC6A5D" w:rsidRDefault="00491A6C" w:rsidP="0051280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7 сессия </w:t>
      </w:r>
      <w:r w:rsidR="008510AE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Подкомитета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III согласилась возобновить работу следующих Корреспондентских групп:</w:t>
      </w:r>
    </w:p>
    <w:p w:rsidR="004B2F13" w:rsidRPr="00BC6A5D" w:rsidRDefault="004B2F13" w:rsidP="0051280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по анализу отчетов о расследовании в области безопасности на море и создании Рабочей/Проектной группы по анализу отчетов о безопасности на море на 8 сессии Подкомитета III;</w:t>
      </w:r>
    </w:p>
    <w:p w:rsidR="004B2F13" w:rsidRPr="00BC6A5D" w:rsidRDefault="004B2F13" w:rsidP="0051280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по мерам по глобальной гармонизации деятельности и процедур в рамках контроля судов государством порта (КСГП);</w:t>
      </w:r>
    </w:p>
    <w:p w:rsidR="004B2F13" w:rsidRPr="00BC6A5D" w:rsidRDefault="004B2F13" w:rsidP="0051280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по анализу Руководства по освидетельствованию в соответствии с HSSC и Неисчерпывающего списка обязательств в соответствии с Кодексом ИМО по осуществлению документов.</w:t>
      </w:r>
    </w:p>
    <w:p w:rsidR="004B2F13" w:rsidRPr="00BC6A5D" w:rsidRDefault="004B2F13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F13" w:rsidRPr="00BC6A5D" w:rsidRDefault="004B2F13" w:rsidP="00F40D6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</w:t>
      </w:r>
      <w:r w:rsidR="008510A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Подкомитета 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III также призвала Подкомитет ИМО по предупреждению загрязнения и реагированию</w:t>
      </w:r>
      <w:r w:rsidR="00A776F2" w:rsidRPr="00A776F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>PPR</w:t>
      </w:r>
      <w:r w:rsidR="00A776F2" w:rsidRPr="00A776F2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4B2F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обратиться к пересмотренной версии Руководства 2011 г. по проверке противообрастающих систем на судах (MEPC.208(62)) в Подкомитет III для рассмотрения с целью включить его в Процедуры в качестве нового приложения и не издавать в качестве отдельного руководства.</w:t>
      </w:r>
    </w:p>
    <w:p w:rsidR="004B2F13" w:rsidRPr="00BC6A5D" w:rsidRDefault="004B2F13" w:rsidP="004B2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B2F13" w:rsidRPr="00BC6A5D" w:rsidSect="004C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23E5D"/>
    <w:multiLevelType w:val="hybridMultilevel"/>
    <w:tmpl w:val="DA74212A"/>
    <w:lvl w:ilvl="0" w:tplc="8DA6B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35"/>
    <w:rsid w:val="00012C06"/>
    <w:rsid w:val="00045B2E"/>
    <w:rsid w:val="000874C7"/>
    <w:rsid w:val="000A51EA"/>
    <w:rsid w:val="000B1E8C"/>
    <w:rsid w:val="000E645B"/>
    <w:rsid w:val="00143BBD"/>
    <w:rsid w:val="00167513"/>
    <w:rsid w:val="00186387"/>
    <w:rsid w:val="00207DA7"/>
    <w:rsid w:val="00216B1A"/>
    <w:rsid w:val="0024730E"/>
    <w:rsid w:val="002A1D3B"/>
    <w:rsid w:val="0033097B"/>
    <w:rsid w:val="00385ADD"/>
    <w:rsid w:val="003F128D"/>
    <w:rsid w:val="00491A6C"/>
    <w:rsid w:val="004B2F13"/>
    <w:rsid w:val="004C15E7"/>
    <w:rsid w:val="00512805"/>
    <w:rsid w:val="005140F6"/>
    <w:rsid w:val="00575EB9"/>
    <w:rsid w:val="00585828"/>
    <w:rsid w:val="006077CC"/>
    <w:rsid w:val="00637E9E"/>
    <w:rsid w:val="00665381"/>
    <w:rsid w:val="00747922"/>
    <w:rsid w:val="00765643"/>
    <w:rsid w:val="007B7189"/>
    <w:rsid w:val="007C7C6E"/>
    <w:rsid w:val="00800735"/>
    <w:rsid w:val="0081013A"/>
    <w:rsid w:val="008510AE"/>
    <w:rsid w:val="008B6731"/>
    <w:rsid w:val="009549E6"/>
    <w:rsid w:val="009B7561"/>
    <w:rsid w:val="009E58C5"/>
    <w:rsid w:val="009F3657"/>
    <w:rsid w:val="00A776F2"/>
    <w:rsid w:val="00AD0680"/>
    <w:rsid w:val="00AD3398"/>
    <w:rsid w:val="00AE23D9"/>
    <w:rsid w:val="00B746F1"/>
    <w:rsid w:val="00B83BD6"/>
    <w:rsid w:val="00BC537B"/>
    <w:rsid w:val="00BC6A5D"/>
    <w:rsid w:val="00C725E2"/>
    <w:rsid w:val="00CE2C17"/>
    <w:rsid w:val="00D04895"/>
    <w:rsid w:val="00D135E7"/>
    <w:rsid w:val="00D6353B"/>
    <w:rsid w:val="00D810AB"/>
    <w:rsid w:val="00DA6397"/>
    <w:rsid w:val="00E24C89"/>
    <w:rsid w:val="00E92531"/>
    <w:rsid w:val="00F40D6A"/>
    <w:rsid w:val="00F62ADE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ADBE"/>
  <w15:docId w15:val="{C42CC24E-CFEF-43BA-BAC8-5A6C435E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F13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B83B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83B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83B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3B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83B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23582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Легуша Сергей Федорович</dc:creator>
  <cp:lastModifiedBy>Mikhail Musonov (RS)</cp:lastModifiedBy>
  <cp:revision>6</cp:revision>
  <dcterms:created xsi:type="dcterms:W3CDTF">2021-12-27T13:44:00Z</dcterms:created>
  <dcterms:modified xsi:type="dcterms:W3CDTF">2021-12-30T07:58:00Z</dcterms:modified>
</cp:coreProperties>
</file>