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1CA5" w14:textId="77777777" w:rsidR="00970A36" w:rsidRPr="00CE0DB9" w:rsidRDefault="00B65A93" w:rsidP="001000DB">
      <w:pPr>
        <w:pStyle w:val="2"/>
      </w:pPr>
      <w:r w:rsidRPr="00CE0DB9">
        <w:t>Краткая информация о сессии ИМО</w:t>
      </w:r>
    </w:p>
    <w:p w14:paraId="2AB9181C" w14:textId="0E407B98" w:rsidR="00A47F25" w:rsidRPr="00CE0DB9" w:rsidRDefault="00997BCE" w:rsidP="004632F1">
      <w:pPr>
        <w:pStyle w:val="ab"/>
        <w:jc w:val="center"/>
        <w:rPr>
          <w:b/>
          <w:sz w:val="28"/>
          <w:szCs w:val="28"/>
        </w:rPr>
      </w:pPr>
      <w:r w:rsidRPr="00CE0DB9">
        <w:rPr>
          <w:b/>
          <w:sz w:val="28"/>
          <w:szCs w:val="28"/>
        </w:rPr>
        <w:t>10</w:t>
      </w:r>
      <w:r w:rsidRPr="00CE0DB9">
        <w:rPr>
          <w:b/>
          <w:sz w:val="28"/>
          <w:szCs w:val="28"/>
          <w:vertAlign w:val="superscript"/>
        </w:rPr>
        <w:t>я</w:t>
      </w:r>
      <w:r w:rsidRPr="00CE0DB9">
        <w:rPr>
          <w:b/>
          <w:sz w:val="28"/>
          <w:szCs w:val="28"/>
        </w:rPr>
        <w:t xml:space="preserve"> сессия Подкомитета </w:t>
      </w:r>
      <w:r w:rsidR="00A47F25" w:rsidRPr="00CE0DB9">
        <w:rPr>
          <w:b/>
          <w:sz w:val="28"/>
          <w:szCs w:val="28"/>
        </w:rPr>
        <w:t xml:space="preserve">по человеческому фактору, подготовке </w:t>
      </w:r>
      <w:r w:rsidR="00580855" w:rsidRPr="00580855">
        <w:rPr>
          <w:b/>
          <w:sz w:val="28"/>
          <w:szCs w:val="28"/>
        </w:rPr>
        <w:t xml:space="preserve">моряков </w:t>
      </w:r>
      <w:r w:rsidR="00A47F25" w:rsidRPr="00CE0DB9">
        <w:rPr>
          <w:b/>
          <w:sz w:val="28"/>
          <w:szCs w:val="28"/>
        </w:rPr>
        <w:t>и несению вахты (HTW 10)</w:t>
      </w:r>
    </w:p>
    <w:p w14:paraId="6742C173" w14:textId="51BEC8A5" w:rsidR="00EC1232" w:rsidRPr="00CE0DB9" w:rsidRDefault="00253E96" w:rsidP="00997BCE">
      <w:pPr>
        <w:ind w:firstLine="708"/>
        <w:jc w:val="center"/>
      </w:pPr>
      <w:r w:rsidRPr="00CE0DB9">
        <w:rPr>
          <w:b/>
          <w:sz w:val="28"/>
          <w:szCs w:val="28"/>
        </w:rPr>
        <w:t>5–</w:t>
      </w:r>
      <w:r w:rsidR="00A47F25" w:rsidRPr="00CE0DB9">
        <w:rPr>
          <w:b/>
          <w:sz w:val="28"/>
          <w:szCs w:val="28"/>
        </w:rPr>
        <w:t>9 февраля 2024 г.</w:t>
      </w:r>
    </w:p>
    <w:p w14:paraId="0B700C74" w14:textId="4D253C41" w:rsidR="00E25907" w:rsidRPr="00CE0DB9" w:rsidRDefault="00997BCE" w:rsidP="00253E96">
      <w:pPr>
        <w:ind w:firstLine="708"/>
      </w:pPr>
      <w:r w:rsidRPr="00CE0DB9">
        <w:t xml:space="preserve">10-я сессия Подкомитета по человеческому фактору, </w:t>
      </w:r>
      <w:r w:rsidR="00253E96" w:rsidRPr="00CE0DB9">
        <w:t xml:space="preserve">подготовке </w:t>
      </w:r>
      <w:r w:rsidR="002A534C" w:rsidRPr="002A534C">
        <w:t xml:space="preserve">моряков </w:t>
      </w:r>
      <w:r w:rsidRPr="00CE0DB9">
        <w:t>и несению вахты (HTW 10) прошла очно в Лондоне</w:t>
      </w:r>
      <w:r w:rsidR="004B4495" w:rsidRPr="00CE0DB9">
        <w:t xml:space="preserve"> </w:t>
      </w:r>
      <w:r w:rsidR="00253E96" w:rsidRPr="00CE0DB9">
        <w:t>5–</w:t>
      </w:r>
      <w:r w:rsidRPr="00CE0DB9">
        <w:t>9 февраля 2024 г. с использованием гибридных средств, обеспечивающих дистанционное участие.</w:t>
      </w:r>
      <w:r w:rsidR="004B4495" w:rsidRPr="00CE0DB9">
        <w:t xml:space="preserve"> </w:t>
      </w:r>
      <w:r w:rsidRPr="00CE0DB9">
        <w:t>Основные результаты заседания приведены ниже.</w:t>
      </w:r>
    </w:p>
    <w:p w14:paraId="1E5A5885" w14:textId="77777777" w:rsidR="00130446" w:rsidRPr="00CE0DB9" w:rsidRDefault="00130446" w:rsidP="001807AE">
      <w:pPr>
        <w:pBdr>
          <w:bottom w:val="single" w:sz="2" w:space="1" w:color="A5A5A5" w:themeColor="accent3"/>
        </w:pBdr>
        <w:ind w:firstLine="708"/>
      </w:pPr>
    </w:p>
    <w:p w14:paraId="5E184C51" w14:textId="6207C212" w:rsidR="00130446" w:rsidRPr="00CE0DB9" w:rsidRDefault="00130446" w:rsidP="00130446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>Основа, заложенная</w:t>
      </w:r>
      <w:r w:rsidR="004B4495" w:rsidRPr="00CE0DB9">
        <w:rPr>
          <w:b/>
          <w:i/>
        </w:rPr>
        <w:t xml:space="preserve"> </w:t>
      </w:r>
      <w:r w:rsidRPr="00CE0DB9">
        <w:rPr>
          <w:b/>
          <w:i/>
        </w:rPr>
        <w:t xml:space="preserve">для комплексного анализа Конвенции и Кодекса ПДНВ </w:t>
      </w:r>
    </w:p>
    <w:p w14:paraId="65349E22" w14:textId="3DA9BE99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Подкомитет согласовал дорожную карту, методологию и список конкретных областей для комплексного анализа Международной конвенции по подготовке, дипломированию моряков и несению вахты (ПДНВ) и сопроводительного Кодекса ПДНВ.</w:t>
      </w:r>
    </w:p>
    <w:p w14:paraId="3820EBE9" w14:textId="77777777" w:rsidR="00AA0D36" w:rsidRDefault="00B44525" w:rsidP="00253E96">
      <w:pPr>
        <w:pBdr>
          <w:bottom w:val="single" w:sz="2" w:space="1" w:color="A5A5A5" w:themeColor="accent3"/>
        </w:pBdr>
        <w:ind w:firstLine="708"/>
      </w:pPr>
      <w:r w:rsidRPr="00CE0DB9">
        <w:t xml:space="preserve">Конвенция ПДНВ устанавливает основные требования к подготовке, </w:t>
      </w:r>
      <w:r w:rsidR="00253E96" w:rsidRPr="00CE0DB9">
        <w:t xml:space="preserve">дипломированию моряков </w:t>
      </w:r>
      <w:r w:rsidRPr="00CE0DB9">
        <w:t xml:space="preserve">и несению вахты на международном уровне. </w:t>
      </w:r>
    </w:p>
    <w:p w14:paraId="48DCC7A6" w14:textId="72120399" w:rsidR="00B44525" w:rsidRPr="00CE0DB9" w:rsidRDefault="00B44525" w:rsidP="00253E96">
      <w:pPr>
        <w:pBdr>
          <w:bottom w:val="single" w:sz="2" w:space="1" w:color="A5A5A5" w:themeColor="accent3"/>
        </w:pBdr>
        <w:ind w:firstLine="708"/>
      </w:pPr>
      <w:r w:rsidRPr="00CE0DB9">
        <w:t>В 2022 г</w:t>
      </w:r>
      <w:r w:rsidR="00AA0D36">
        <w:t>оду</w:t>
      </w:r>
      <w:r w:rsidRPr="00CE0DB9">
        <w:t xml:space="preserve"> Комитет по безопасности на море (MSC 105) поручил Подкомитету HTW провести комплексный анализ Конвенции и Кодекса ПДНВ в целях адаптации существующих глобальных стандартов по подготовке моряков с учетом новых тенденций, разработок и основных задач в морском секторе.</w:t>
      </w:r>
      <w:r w:rsidR="004B4495" w:rsidRPr="00CE0DB9">
        <w:t xml:space="preserve"> </w:t>
      </w:r>
    </w:p>
    <w:p w14:paraId="5FDDC690" w14:textId="5A175A34" w:rsidR="00130446" w:rsidRPr="00CE0DB9" w:rsidRDefault="00130446" w:rsidP="00B44525">
      <w:pPr>
        <w:pBdr>
          <w:bottom w:val="single" w:sz="2" w:space="1" w:color="A5A5A5" w:themeColor="accent3"/>
        </w:pBdr>
      </w:pPr>
    </w:p>
    <w:p w14:paraId="3FBBA30B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>Дорожная карта</w:t>
      </w:r>
    </w:p>
    <w:p w14:paraId="26691A49" w14:textId="77777777" w:rsidR="00720A76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Подкомитет HTW предложил двухэтапную дорожную карту.</w:t>
      </w:r>
      <w:r w:rsidR="004B4495" w:rsidRPr="00CE0DB9">
        <w:t xml:space="preserve"> </w:t>
      </w:r>
      <w:r w:rsidRPr="00CE0DB9">
        <w:t xml:space="preserve">Дорожная карта включает в себя два отдельных этапа – этап анализа – поиск пробелов, связанных с новыми технологиями, устаревшей информацией или областями, требующими обновления. </w:t>
      </w:r>
    </w:p>
    <w:p w14:paraId="0A6A9DE3" w14:textId="5E32EB41" w:rsidR="00720A76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Этот этап рассматривался путем переписки, начиная с 9-й сессии</w:t>
      </w:r>
      <w:r w:rsidR="00253E96" w:rsidRPr="00CE0DB9">
        <w:t xml:space="preserve"> </w:t>
      </w:r>
      <w:r w:rsidRPr="00CE0DB9">
        <w:t xml:space="preserve">HTW. После этого предусмотрен этап пересмотра, который будет сосредоточен на необходимых изменениях в Конвенции и Кодексе ПДНВ. </w:t>
      </w:r>
    </w:p>
    <w:p w14:paraId="4CEC5934" w14:textId="7EE49F51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Предполагается, что этот этап завершится </w:t>
      </w:r>
      <w:r w:rsidR="00527672">
        <w:t>обсуждением</w:t>
      </w:r>
      <w:r w:rsidRPr="00CE0DB9">
        <w:t>, которое состоится осенью 2027 г</w:t>
      </w:r>
      <w:r w:rsidR="00720A76">
        <w:t>ода</w:t>
      </w:r>
      <w:r w:rsidRPr="00CE0DB9">
        <w:t>, для принятия поправок к Конвенции и Кодексу ПДНВ, а также соответству</w:t>
      </w:r>
      <w:bookmarkStart w:id="0" w:name="_GoBack"/>
      <w:bookmarkEnd w:id="0"/>
      <w:r w:rsidRPr="00CE0DB9">
        <w:t>ющих проектов резолюций КБМ. Дорожная карта будет направлена на 108-ю сессию КБМ (май 2024 г</w:t>
      </w:r>
      <w:r w:rsidR="00720A76">
        <w:t>ода</w:t>
      </w:r>
      <w:r w:rsidRPr="00CE0DB9">
        <w:t>) для согласования Комитетом.</w:t>
      </w:r>
    </w:p>
    <w:p w14:paraId="2EA36EF8" w14:textId="7411099D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4B26F4BA" w14:textId="34F8E4BF" w:rsidR="00130446" w:rsidRPr="00CE0DB9" w:rsidRDefault="00130446" w:rsidP="00130446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>Перечень конкретных областей, определенных для комплексного анализа Конвенции и Кодекса ПДНВ</w:t>
      </w:r>
    </w:p>
    <w:p w14:paraId="5605C092" w14:textId="13C78829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Подкомитет HTW принял решение включить следующий список конкретных областей, которые будут рассматриваться в рамках комплексного анализа Конвенции и Кодекса ПДНВ:</w:t>
      </w:r>
    </w:p>
    <w:p w14:paraId="35B98E83" w14:textId="68BF4BE8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1. Новые технологии на судах и при эксплуатации судов;</w:t>
      </w:r>
    </w:p>
    <w:p w14:paraId="2A9CF987" w14:textId="19D0FFC3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2. Оцифровка документации, включая сертификаты, выданные по ПДНВ;</w:t>
      </w:r>
    </w:p>
    <w:p w14:paraId="631D83E3" w14:textId="7EC0ED9F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3. Новые технологии в образовании и обучении;</w:t>
      </w:r>
    </w:p>
    <w:p w14:paraId="4A6E9211" w14:textId="36CC504A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4. Упрощение, гибкость и качество обучения навыкам на борту, на берегу и на практических занятиях, включая использование тренажеров;</w:t>
      </w:r>
    </w:p>
    <w:p w14:paraId="38EB608F" w14:textId="43CD53C6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5. Гибкость и эффективность внедрения новых требований к обучению и снижению административных барьеров;</w:t>
      </w:r>
    </w:p>
    <w:p w14:paraId="4DA40877" w14:textId="7326178D" w:rsidR="00130446" w:rsidRPr="00CE0DB9" w:rsidRDefault="00130446" w:rsidP="00253E96">
      <w:pPr>
        <w:pBdr>
          <w:bottom w:val="single" w:sz="2" w:space="1" w:color="A5A5A5" w:themeColor="accent3"/>
        </w:pBdr>
        <w:ind w:firstLine="708"/>
      </w:pPr>
      <w:r w:rsidRPr="00CE0DB9">
        <w:t xml:space="preserve">6. Требования к </w:t>
      </w:r>
      <w:r w:rsidR="00253E96" w:rsidRPr="00CE0DB9">
        <w:t>стажу плавания</w:t>
      </w:r>
      <w:r w:rsidRPr="00CE0DB9">
        <w:t xml:space="preserve"> или практическому опыту в отношении новых и перспективных технологий, включая использование моделирования;</w:t>
      </w:r>
    </w:p>
    <w:p w14:paraId="0C03B227" w14:textId="7191A3E5" w:rsidR="00130446" w:rsidRPr="00CE0DB9" w:rsidRDefault="00130446" w:rsidP="00A53B9C">
      <w:pPr>
        <w:pBdr>
          <w:bottom w:val="single" w:sz="2" w:space="1" w:color="A5A5A5" w:themeColor="accent3"/>
        </w:pBdr>
        <w:ind w:firstLine="708"/>
      </w:pPr>
      <w:r w:rsidRPr="00CE0DB9">
        <w:t xml:space="preserve">7. Психологическая безопасность, издевательства и </w:t>
      </w:r>
      <w:r w:rsidR="00A53B9C" w:rsidRPr="00CE0DB9">
        <w:t>притеснения</w:t>
      </w:r>
      <w:r w:rsidRPr="00CE0DB9">
        <w:t xml:space="preserve">, включая </w:t>
      </w:r>
      <w:r w:rsidR="00A53B9C" w:rsidRPr="00CE0DB9">
        <w:t>сексуальное насилие и сексуальные домогательства</w:t>
      </w:r>
      <w:r w:rsidRPr="00CE0DB9">
        <w:t xml:space="preserve"> (SASH), гендерные различия и гендерную восприимчивость;</w:t>
      </w:r>
    </w:p>
    <w:p w14:paraId="04D63AF8" w14:textId="4B11D358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8. Психическое здоровье;</w:t>
      </w:r>
    </w:p>
    <w:p w14:paraId="29A0E36F" w14:textId="05E5A4AC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9. XXI век и навыки межличностного общения;</w:t>
      </w:r>
    </w:p>
    <w:p w14:paraId="1C41DAAA" w14:textId="55EB1BD2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10. Рассмотрение несоответствий;</w:t>
      </w:r>
    </w:p>
    <w:p w14:paraId="256E6E39" w14:textId="3797301D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11. Рассмотрение различных интерпретаций;</w:t>
      </w:r>
    </w:p>
    <w:p w14:paraId="1887389B" w14:textId="4B52E370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12. Рассмотрение вопросов таксономии и терминологии;</w:t>
      </w:r>
    </w:p>
    <w:p w14:paraId="1693591E" w14:textId="1294A6EB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13. Гибкость при подтверждении сертификатов и переоформлений;</w:t>
      </w:r>
    </w:p>
    <w:p w14:paraId="6AE9747B" w14:textId="58E419BF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14. Обзор реализации Конвенции, в частности, необходимости обновления «Белого списка» ПДНВ;</w:t>
      </w:r>
    </w:p>
    <w:p w14:paraId="192674D8" w14:textId="41BCAA8D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15. Извлеченные уроки;</w:t>
      </w:r>
    </w:p>
    <w:p w14:paraId="735D3425" w14:textId="7DE7A7DB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16. Гибкость;</w:t>
      </w:r>
    </w:p>
    <w:p w14:paraId="59A659B0" w14:textId="3B1F6516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lastRenderedPageBreak/>
        <w:t>17. Альтернативная сертификация согласно главе VII;</w:t>
      </w:r>
    </w:p>
    <w:p w14:paraId="5DCBA4A7" w14:textId="3E75BF74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18. Порядок и принципы несения вахты, которые необходимо соблюдать (глава VIII);</w:t>
      </w:r>
    </w:p>
    <w:p w14:paraId="74DA5A31" w14:textId="463EA366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19. Приведение ПДНВ в соответствие с требованиями, предъявляемыми к судам, морякам и судовладельцам другими ИМО и соответствующими международными документами;</w:t>
      </w:r>
    </w:p>
    <w:p w14:paraId="77C2F8B1" w14:textId="3111EA78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20. Кибербезопасность;</w:t>
      </w:r>
    </w:p>
    <w:p w14:paraId="0DCB97EA" w14:textId="175CB964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21. Реализация и переходные положения;</w:t>
      </w:r>
    </w:p>
    <w:p w14:paraId="568F97FD" w14:textId="5B40E2DB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22. Рассмотрение устаревших требований к обучению;</w:t>
      </w:r>
    </w:p>
    <w:p w14:paraId="4CAAB3A9" w14:textId="5DC6B6A6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Вышеупомянутые конкретные области будут далее направлены в КБМ на согласование Комитетом.</w:t>
      </w:r>
    </w:p>
    <w:p w14:paraId="415DB71C" w14:textId="634BC7DE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38DB2240" w14:textId="77777777" w:rsidR="00B44525" w:rsidRPr="00CE0DB9" w:rsidRDefault="00B44525" w:rsidP="00B44525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>Предложения по новым поправкам к Конвенции и Кодексу ПДНВ</w:t>
      </w:r>
    </w:p>
    <w:p w14:paraId="11757F69" w14:textId="1B631A5C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На рассмотрение Подкомитета HTW было представлено несколько предложений по поправкам к Конвенции и Кодексу ПДНВ, в том числе:</w:t>
      </w:r>
    </w:p>
    <w:p w14:paraId="61D9F0BA" w14:textId="03A84DBC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- Поправки к разделу B-VI/4 Кодекса ПДНВ по включению сноски, касающейся использования отраслевого медицинского руководства для судов;</w:t>
      </w:r>
    </w:p>
    <w:p w14:paraId="4F072EAD" w14:textId="1ED8818F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- Поправки к Кодексу ПДНВ, касающиеся новой компетентности в области навигации в среде Глобальной навигационной спутниковой системы (ГНСС), подверженной влиянию внешних помех;</w:t>
      </w:r>
    </w:p>
    <w:p w14:paraId="6864E49A" w14:textId="5CF7C922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- Разработка инструкций по обязательной бортовой подготовке с указанием конкретных сроков</w:t>
      </w:r>
      <w:r w:rsidR="004B4495" w:rsidRPr="00CE0DB9">
        <w:t xml:space="preserve"> </w:t>
      </w:r>
      <w:r w:rsidRPr="00CE0DB9">
        <w:t>и методов обучения утвержденной работе на судне;</w:t>
      </w:r>
    </w:p>
    <w:p w14:paraId="01A2D472" w14:textId="6504D742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- Рекомендации по программам обучения Полярному кодексу.</w:t>
      </w:r>
    </w:p>
    <w:p w14:paraId="60C81D6F" w14:textId="641CA8B7" w:rsidR="00B44525" w:rsidRPr="00CE0DB9" w:rsidRDefault="00B44525" w:rsidP="00130446">
      <w:pPr>
        <w:pBdr>
          <w:bottom w:val="single" w:sz="2" w:space="1" w:color="A5A5A5" w:themeColor="accent3"/>
        </w:pBdr>
        <w:ind w:firstLine="708"/>
      </w:pPr>
    </w:p>
    <w:p w14:paraId="67D31B06" w14:textId="77777777" w:rsidR="00B44525" w:rsidRPr="00CE0DB9" w:rsidRDefault="00B44525" w:rsidP="00B44525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>Доступность информации, касающейся медицинских положений Конвенции ПДНВ</w:t>
      </w:r>
    </w:p>
    <w:p w14:paraId="3A815151" w14:textId="4547CC7D" w:rsidR="00B44525" w:rsidRPr="00CE0DB9" w:rsidRDefault="00B44525" w:rsidP="00B44525">
      <w:pPr>
        <w:pBdr>
          <w:bottom w:val="single" w:sz="2" w:space="1" w:color="A5A5A5" w:themeColor="accent3"/>
        </w:pBdr>
        <w:ind w:firstLine="708"/>
      </w:pPr>
      <w:r w:rsidRPr="00CE0DB9">
        <w:t>Предложение по проекту резолюции КБМ о доступности информации, касающейся медицинских положений в Конвенции ПДНВ, не рассматривалось, но оно будет направлено на рассмотрение Межсессионной рабочей группы.</w:t>
      </w:r>
    </w:p>
    <w:p w14:paraId="3ED23CD7" w14:textId="77777777" w:rsidR="00B44525" w:rsidRPr="00CE0DB9" w:rsidRDefault="00B44525" w:rsidP="008576EA">
      <w:pPr>
        <w:pBdr>
          <w:bottom w:val="single" w:sz="2" w:space="1" w:color="A5A5A5" w:themeColor="accent3"/>
        </w:pBdr>
      </w:pPr>
    </w:p>
    <w:p w14:paraId="01CAC5E1" w14:textId="7EB56CDD" w:rsidR="00130446" w:rsidRPr="00CE0DB9" w:rsidRDefault="008576EA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Подкомитет принял решение: </w:t>
      </w:r>
    </w:p>
    <w:p w14:paraId="5B1609ED" w14:textId="55C430AC" w:rsidR="00130446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- 22 конкретных области Конвенции и Кодекса, подлежащие пересмотру, включая, среди прочего, рассмотрение требований к обучению новым технологиям на судах, электронной сертификации, психическому здоровью и гендерной восприимчивости; </w:t>
      </w:r>
    </w:p>
    <w:p w14:paraId="7787A3FC" w14:textId="6242F177" w:rsidR="00130446" w:rsidRPr="00CE0DB9" w:rsidRDefault="008576EA" w:rsidP="00A53B9C">
      <w:pPr>
        <w:pBdr>
          <w:bottom w:val="single" w:sz="2" w:space="1" w:color="A5A5A5" w:themeColor="accent3"/>
        </w:pBdr>
        <w:ind w:firstLine="708"/>
      </w:pPr>
      <w:r w:rsidRPr="00CE0DB9">
        <w:t xml:space="preserve">- Двухэтапная методология, включающая в себя анализ Конвенции и Кодекса для выявления пробелов (этап 1), а затем </w:t>
      </w:r>
      <w:r w:rsidR="00A53B9C" w:rsidRPr="00CE0DB9">
        <w:t>стадию</w:t>
      </w:r>
      <w:r w:rsidRPr="00CE0DB9">
        <w:t xml:space="preserve"> пересмотра для разработки поправок в целях устранения этих пробелов (этап</w:t>
      </w:r>
      <w:r w:rsidR="004B4495" w:rsidRPr="00CE0DB9">
        <w:t> </w:t>
      </w:r>
      <w:r w:rsidRPr="00CE0DB9">
        <w:t xml:space="preserve">2); </w:t>
      </w:r>
    </w:p>
    <w:p w14:paraId="29AAF80E" w14:textId="1D34327B" w:rsidR="00130446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>- Создание Межсессионной рабочей группы перед следующей сессией Подкомитета (HTW 11) для продвижения работы с учетом решения КБМ и Совета ИМО;</w:t>
      </w:r>
    </w:p>
    <w:p w14:paraId="1EFAEE28" w14:textId="6CE5F995" w:rsidR="00130446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- Дорожная карта с указанием графика действий, включая доработку списка пробелов, выявленных к весне 2025 г. (HTW11); доработка проекта текста поправок и резолюций к весне 2027 г. (HTW13). </w:t>
      </w:r>
    </w:p>
    <w:p w14:paraId="1B8F296F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Все вышеперечисленное будет представлено на утверждение предстоящему 108-му заседанию Комитета по безопасности на море (MSC 108). </w:t>
      </w:r>
    </w:p>
    <w:p w14:paraId="5E3543F1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078A877F" w14:textId="4DA4CAFB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Активизация усилий по предотвращению и борьбе с издевательствами и притеснениями </w:t>
      </w:r>
    </w:p>
    <w:p w14:paraId="15386E15" w14:textId="6720D3E3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>В рамках комплексного анализа Конвенции и Кодекса ПДНВ Подкомитет доработал проект технического задания по пересмотру Типового курса 1.21 «Личная безопасность и социальная ответственность» с целью его валидации на 12-й сессии HTW (2026 г.). Цель состоит в том, чтобы внедрить новые компетенции, которые будут содействовать предупреждению и реагированию на все виды издевательств и</w:t>
      </w:r>
      <w:r w:rsidR="00A53B9C" w:rsidRPr="00CE0DB9">
        <w:t xml:space="preserve"> притеснений в морском секторе.</w:t>
      </w:r>
    </w:p>
    <w:p w14:paraId="2F30E91C" w14:textId="7B497EBA" w:rsidR="00130446" w:rsidRPr="00CE0DB9" w:rsidRDefault="00130446" w:rsidP="00A53B9C">
      <w:pPr>
        <w:pBdr>
          <w:bottom w:val="single" w:sz="2" w:space="1" w:color="A5A5A5" w:themeColor="accent3"/>
        </w:pBdr>
        <w:ind w:firstLine="708"/>
      </w:pPr>
      <w:r w:rsidRPr="00CE0DB9">
        <w:t xml:space="preserve">Ожидается, что 108-я сессия </w:t>
      </w:r>
      <w:r w:rsidR="00A53B9C" w:rsidRPr="00CE0DB9">
        <w:t>КБМ</w:t>
      </w:r>
      <w:r w:rsidRPr="00CE0DB9">
        <w:t xml:space="preserve"> примет проект поправок к Кодексу ПДНВ для предупреждения и реагирования на издевательства и </w:t>
      </w:r>
      <w:r w:rsidR="00A53B9C" w:rsidRPr="00CE0DB9">
        <w:t>притеснения</w:t>
      </w:r>
      <w:r w:rsidRPr="00CE0DB9">
        <w:t xml:space="preserve"> в морском секторе, включая сексуальное насилие и сексуальные домогательства (SASH), после рассмотрения одобренного проекта поправок на следующем заседании совместной группы МОТ</w:t>
      </w:r>
      <w:r w:rsidR="00A53B9C" w:rsidRPr="00CE0DB9">
        <w:t xml:space="preserve"> </w:t>
      </w:r>
      <w:r w:rsidRPr="00CE0DB9">
        <w:t>/ Трехсторонней рабочей группы ИМО по выявлению и решению проблем моряков и человеческого фактора (JTWG), которая будет проводиться с 27 по 29 февраля 2024 г. в штаб-квартире ИМО в Лондоне.</w:t>
      </w:r>
      <w:r w:rsidR="004B4495" w:rsidRPr="00CE0DB9">
        <w:t xml:space="preserve"> </w:t>
      </w:r>
    </w:p>
    <w:p w14:paraId="026BABD8" w14:textId="04023DAD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Новые положения будут распространяться на всех моряков посредством внесения поправок в Кодекс ПДНВ, таблица A-VI/1-4 (Спецификация минимального стандарта компетентности в области личной безопасности и социальной ответственности).</w:t>
      </w:r>
      <w:r w:rsidR="004B4495" w:rsidRPr="00CE0DB9">
        <w:t xml:space="preserve"> </w:t>
      </w:r>
    </w:p>
    <w:p w14:paraId="77AC3AAF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2A7981BF" w14:textId="3B93E09D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Обучение моряков на судах, использующих альтернативные виды топлива </w:t>
      </w:r>
    </w:p>
    <w:p w14:paraId="6D3E668F" w14:textId="5D56296F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>Подкомитет обсудил разработку положений по обучению моряков на судах, использующих альтернативные виды топлива.</w:t>
      </w:r>
      <w:r w:rsidR="004B4495" w:rsidRPr="00CE0DB9">
        <w:t xml:space="preserve"> </w:t>
      </w:r>
      <w:r w:rsidRPr="00CE0DB9">
        <w:t xml:space="preserve">Было принято решение, что работа, связанная с этим вопросом, должна быть отделена от работы по комплексному анализу Конвенции и Кодекса ПДНВ. </w:t>
      </w:r>
    </w:p>
    <w:p w14:paraId="0DF17556" w14:textId="52194E8C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>Подкомитет пришел к решению относительно того, что существующие результаты работы КБМ по «Разработке нормативной базы безопасности для поддержки сокращения выбросов парниковых газов с судов, использующих новые технологии и альтернативные виды топлива» могут быть использованы для разработки соответствующих положений по обучению моряков, и предложил, чтобы КБМ включил эти результаты в повестку дня Подкомитета для обсуждения на 11-й сессии HTW.</w:t>
      </w:r>
      <w:r w:rsidR="004B4495" w:rsidRPr="00CE0DB9">
        <w:t xml:space="preserve"> </w:t>
      </w:r>
    </w:p>
    <w:p w14:paraId="032F219D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40E79DEA" w14:textId="6EF55C01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Рекомендации по усовершенствованию обучения Полярному кодексу </w:t>
      </w:r>
    </w:p>
    <w:p w14:paraId="2DB338EC" w14:textId="55D787DA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рассмотрел ряд рекомендаций, выдвинутых несколькими государствами-членами, включая поправки к Конвенции и Кодексу ПДНВ, направленные на усовершенствование обучения моряков, работающих в полярных водах. </w:t>
      </w:r>
    </w:p>
    <w:p w14:paraId="1C811BDB" w14:textId="09CDD1EA" w:rsidR="00130446" w:rsidRPr="00CE0DB9" w:rsidRDefault="00130446" w:rsidP="00A53B9C">
      <w:pPr>
        <w:pBdr>
          <w:bottom w:val="single" w:sz="2" w:space="1" w:color="A5A5A5" w:themeColor="accent3"/>
        </w:pBdr>
        <w:ind w:firstLine="708"/>
      </w:pPr>
      <w:r w:rsidRPr="00CE0DB9">
        <w:t>Рекомендации основаны на выводах и опыте, полученных в ходе пяти региональных семинаров по развитию компетенций, провед</w:t>
      </w:r>
      <w:r w:rsidR="00A53B9C" w:rsidRPr="00CE0DB9">
        <w:t>енных в период с 2019 по 2022 г.</w:t>
      </w:r>
      <w:r w:rsidRPr="00CE0DB9">
        <w:t xml:space="preserve">, а также семинара, проведенного в декабре 2023 г., для анализа уроков, извлеченных в ходе этой учебной программы. </w:t>
      </w:r>
    </w:p>
    <w:p w14:paraId="201657A2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принял решение включить некоторые рекомендации в состав комплексного анализа Конвенции и Кодекса ПДНВ и предложил КБМ рассмотреть ряд других рекомендаций для дальнейших действий по мере необходимости. </w:t>
      </w:r>
    </w:p>
    <w:p w14:paraId="142CA8BD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35FDF182" w14:textId="7925875A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Новый модуль ГИСИС по ПДНВ </w:t>
      </w:r>
    </w:p>
    <w:p w14:paraId="7208E8D8" w14:textId="5BF630A6" w:rsidR="00130446" w:rsidRPr="00CE0DB9" w:rsidRDefault="00130446" w:rsidP="00CE2120">
      <w:pPr>
        <w:pBdr>
          <w:bottom w:val="single" w:sz="2" w:space="1" w:color="A5A5A5" w:themeColor="accent3"/>
        </w:pBdr>
        <w:ind w:firstLine="708"/>
      </w:pPr>
      <w:r w:rsidRPr="00CE0DB9">
        <w:t>Подкомитет принял решение запустить новый модуль в Глобальной интегрированной системе информации о судоходстве (ГИСИС) для поддержки Сторон при выполнении ими обязательств по Конвенции ПДНВ. Модуль расширит возможности связи и обмена информацией, а также будет оказывать содействие в бор</w:t>
      </w:r>
      <w:r w:rsidR="004346BC">
        <w:t>ь</w:t>
      </w:r>
      <w:r w:rsidRPr="00CE0DB9">
        <w:t xml:space="preserve">бе с мошенничеством и </w:t>
      </w:r>
      <w:r w:rsidR="00CE2120" w:rsidRPr="00CE0DB9">
        <w:t xml:space="preserve">в </w:t>
      </w:r>
      <w:r w:rsidRPr="00CE0DB9">
        <w:t>снижени</w:t>
      </w:r>
      <w:r w:rsidR="00CE2120" w:rsidRPr="00CE0DB9">
        <w:t>и</w:t>
      </w:r>
      <w:r w:rsidRPr="00CE0DB9">
        <w:t xml:space="preserve"> административных барьеров. </w:t>
      </w:r>
    </w:p>
    <w:p w14:paraId="2C905BE8" w14:textId="77777777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Ожидаемая функциональность модуля включает в себя следующее:</w:t>
      </w:r>
    </w:p>
    <w:p w14:paraId="39229658" w14:textId="56EFBEA0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 xml:space="preserve">- </w:t>
      </w:r>
      <w:r w:rsidR="00531E89">
        <w:t>О</w:t>
      </w:r>
      <w:r w:rsidR="00531E89" w:rsidRPr="00531E89">
        <w:t>сновные пункты</w:t>
      </w:r>
      <w:r w:rsidRPr="00CE0DB9">
        <w:t xml:space="preserve"> ПДНВ;</w:t>
      </w:r>
    </w:p>
    <w:p w14:paraId="7EEE773F" w14:textId="353C54F2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- Первоначальное доведение информации (статьи IV(1) и VIII(3); и раздел A-I/7, пункт 2);</w:t>
      </w:r>
    </w:p>
    <w:p w14:paraId="1D619E74" w14:textId="4A87025F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- Последующие отчеты (статья IX(2) и раздел A-I/7, пункты 3–6);</w:t>
      </w:r>
    </w:p>
    <w:p w14:paraId="75AE3DB3" w14:textId="2F9F77C3" w:rsidR="00267C5C" w:rsidRPr="00CE0DB9" w:rsidRDefault="00267C5C" w:rsidP="00CE2120">
      <w:pPr>
        <w:pBdr>
          <w:bottom w:val="single" w:sz="2" w:space="1" w:color="A5A5A5" w:themeColor="accent3"/>
        </w:pBdr>
        <w:ind w:firstLine="708"/>
      </w:pPr>
      <w:r w:rsidRPr="00CE0DB9">
        <w:t>- Список компетентных лиц (раздел A-I/7, параграф 7, серия MSC.1/Circ.797 и циркулярное письмо №</w:t>
      </w:r>
      <w:r w:rsidR="00CE2120" w:rsidRPr="00CE0DB9">
        <w:t> </w:t>
      </w:r>
      <w:r w:rsidRPr="00CE0DB9">
        <w:t>1882);</w:t>
      </w:r>
    </w:p>
    <w:p w14:paraId="3881F50A" w14:textId="15A64E8C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- Разрешения на отступление от норм (статья VIII(3));</w:t>
      </w:r>
    </w:p>
    <w:p w14:paraId="6CA24198" w14:textId="287D2FA5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- Поддельные сертификаты; и</w:t>
      </w:r>
    </w:p>
    <w:p w14:paraId="2516ABF6" w14:textId="29F4DBDF" w:rsidR="00267C5C" w:rsidRPr="00CE0DB9" w:rsidRDefault="00267C5C" w:rsidP="00267C5C">
      <w:pPr>
        <w:pBdr>
          <w:bottom w:val="single" w:sz="2" w:space="1" w:color="A5A5A5" w:themeColor="accent3"/>
        </w:pBdr>
        <w:ind w:firstLine="708"/>
      </w:pPr>
      <w:r w:rsidRPr="00CE0DB9">
        <w:t>- Тренажеры (правило I/12).</w:t>
      </w:r>
    </w:p>
    <w:p w14:paraId="68244587" w14:textId="55718343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>Для нового модуля ГИСИС будет предусмотрен испытательный период в два года, и предполагается, что опыт, полученный в течение этого испытательного периода, будет освещен на будущей сессии Подкомитета с целью внесения соответствующего вклада в комплексный анализ Конвенции ПДНВ и Кодекса, в частности, в отношении положений по расширению возможностей передачи информации.</w:t>
      </w:r>
      <w:r w:rsidR="004B4495" w:rsidRPr="00CE0DB9">
        <w:t xml:space="preserve"> </w:t>
      </w:r>
    </w:p>
    <w:p w14:paraId="528C2C40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призвал Стороны ПДНВ использовать новый модуль и предоставить необходимую информацию для его правильной и надежной работы. </w:t>
      </w:r>
    </w:p>
    <w:p w14:paraId="668A75C7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5A1F2A40" w14:textId="2402A17F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t xml:space="preserve">Поддельные сертификаты </w:t>
      </w:r>
    </w:p>
    <w:p w14:paraId="607D3647" w14:textId="7C43C0A7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>Подкомитет принял к сведению полученную Секретариатом информацию о сообщениях, касающихся поддельных квалификационных сертификатов и переоформлений, обнаруженных в 2022 и 2023 гг. Подкомитет отметил, что вопрос поддельных переоформлений среди судового персонала представляет собой серьезную проблему, которая влияет на безопасность моряков и судов.</w:t>
      </w:r>
      <w:r w:rsidR="004B4495" w:rsidRPr="00CE0DB9">
        <w:t xml:space="preserve"> </w:t>
      </w:r>
    </w:p>
    <w:p w14:paraId="3E982885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подчеркнул важность наличия соответствующих переоформлений Сертификата компетентности (CoC) в соответствии с правилом I/10 Конвенции ПДНВ и призвал Стороны ПДНВ предпринять более широкий спектр действий для решения этой проблемы, отметив, что новый модуль ГИСИС ПДНВ будет собирать информацию о Сторонах, сертификаты которых были признаны в соответствии с правилом I/10 и «Средством проверки сертификатов», с тем чтобы позволить Сторонам управлять соответствующей информацией и обновлять ее. </w:t>
      </w:r>
    </w:p>
    <w:p w14:paraId="6E575147" w14:textId="77777777" w:rsidR="00130446" w:rsidRPr="00CE0DB9" w:rsidRDefault="00130446" w:rsidP="00130446">
      <w:pPr>
        <w:pBdr>
          <w:bottom w:val="single" w:sz="2" w:space="1" w:color="A5A5A5" w:themeColor="accent3"/>
        </w:pBdr>
        <w:ind w:firstLine="708"/>
      </w:pPr>
    </w:p>
    <w:p w14:paraId="7A8838B6" w14:textId="01E4AA81" w:rsidR="00130446" w:rsidRPr="00CE0DB9" w:rsidRDefault="00130446" w:rsidP="008576EA">
      <w:pPr>
        <w:pBdr>
          <w:bottom w:val="single" w:sz="2" w:space="1" w:color="A5A5A5" w:themeColor="accent3"/>
        </w:pBdr>
        <w:ind w:firstLine="708"/>
        <w:rPr>
          <w:b/>
          <w:i/>
        </w:rPr>
      </w:pPr>
      <w:r w:rsidRPr="00CE0DB9">
        <w:rPr>
          <w:b/>
          <w:i/>
        </w:rPr>
        <w:lastRenderedPageBreak/>
        <w:t xml:space="preserve">Валидация Типовых курсов </w:t>
      </w:r>
    </w:p>
    <w:p w14:paraId="018FDFC9" w14:textId="3C6DC3E5" w:rsidR="00130446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утвердил следующие Типовые курсы: </w:t>
      </w:r>
    </w:p>
    <w:p w14:paraId="0788C5D7" w14:textId="1983A095" w:rsidR="00130446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- Типовой курс 1.32 по эксплуатационному использованию интегрированных систем ходового мостика, включая интегрированные навигационные системы; </w:t>
      </w:r>
    </w:p>
    <w:p w14:paraId="251A75D7" w14:textId="17BCB013" w:rsidR="00130446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 xml:space="preserve">- Типовой курс 1.35 по учебному тренажеру для обработки груза и балласта танкера для перевозки </w:t>
      </w:r>
      <w:r w:rsidR="00CE2120" w:rsidRPr="00CE0DB9">
        <w:t xml:space="preserve">сжиженного </w:t>
      </w:r>
      <w:r w:rsidRPr="00CE0DB9">
        <w:t xml:space="preserve">нефтяного газа (СНГ); </w:t>
      </w:r>
    </w:p>
    <w:p w14:paraId="25808111" w14:textId="77777777" w:rsidR="008576EA" w:rsidRPr="00CE0DB9" w:rsidRDefault="00130446" w:rsidP="008576EA">
      <w:pPr>
        <w:pBdr>
          <w:bottom w:val="single" w:sz="2" w:space="1" w:color="A5A5A5" w:themeColor="accent3"/>
        </w:pBdr>
        <w:ind w:firstLine="708"/>
      </w:pPr>
      <w:r w:rsidRPr="00CE0DB9">
        <w:t xml:space="preserve">Подкомитет утвердил проект технического задания для пересмотра следующих типовых курсов: </w:t>
      </w:r>
    </w:p>
    <w:p w14:paraId="62395E7B" w14:textId="6FDD4CE6" w:rsidR="00130446" w:rsidRPr="00CE0DB9" w:rsidRDefault="008576EA" w:rsidP="008576EA">
      <w:pPr>
        <w:pBdr>
          <w:bottom w:val="single" w:sz="2" w:space="1" w:color="A5A5A5" w:themeColor="accent3"/>
        </w:pBdr>
        <w:ind w:firstLine="708"/>
      </w:pPr>
      <w:r w:rsidRPr="00CE0DB9">
        <w:t>- Типовой курс 1.37 по учебному тренажеру для обработки груза и балласта танкера-химовоза;</w:t>
      </w:r>
      <w:r w:rsidR="004B4495" w:rsidRPr="00CE0DB9">
        <w:t xml:space="preserve"> </w:t>
      </w:r>
    </w:p>
    <w:p w14:paraId="41ED2E62" w14:textId="3BBA964F" w:rsidR="00EC1232" w:rsidRPr="00CE0DB9" w:rsidRDefault="008576EA" w:rsidP="00130446">
      <w:pPr>
        <w:pBdr>
          <w:bottom w:val="single" w:sz="2" w:space="1" w:color="A5A5A5" w:themeColor="accent3"/>
        </w:pBdr>
        <w:ind w:firstLine="708"/>
      </w:pPr>
      <w:r w:rsidRPr="00CE0DB9">
        <w:t>- Типовой курс 2.06 по учебному тренажеру для обработки груза и балласта нефтеналивного судна</w:t>
      </w:r>
    </w:p>
    <w:p w14:paraId="633CAAFE" w14:textId="77777777" w:rsidR="008C1E62" w:rsidRPr="00CE0DB9" w:rsidRDefault="008C1E62" w:rsidP="008C1E62">
      <w:pPr>
        <w:pBdr>
          <w:bottom w:val="single" w:sz="2" w:space="1" w:color="A5A5A5" w:themeColor="accent3"/>
        </w:pBdr>
        <w:ind w:firstLine="708"/>
      </w:pPr>
    </w:p>
    <w:p w14:paraId="36686EDC" w14:textId="77777777" w:rsidR="003634A1" w:rsidRPr="00CE0DB9" w:rsidRDefault="003634A1" w:rsidP="00DA6A3F">
      <w:pPr>
        <w:rPr>
          <w:color w:val="7B7B7B" w:themeColor="accent3" w:themeShade="BF"/>
          <w:sz w:val="16"/>
          <w:szCs w:val="16"/>
        </w:rPr>
      </w:pPr>
      <w:r w:rsidRPr="00CE0DB9">
        <w:rPr>
          <w:color w:val="7B7B7B" w:themeColor="accent3" w:themeShade="BF"/>
          <w:sz w:val="16"/>
          <w:szCs w:val="16"/>
        </w:rPr>
        <w:t>Этот документ подготовлен Российским морским регистром судоходства в справочных целях и содержит краткое изложение основных результатов заседания рабочего органа ИМО. В справочных целях в документе отражена основная информация об итогах обсуждений и решениях, принятых в ходе заседаний ИМО. Аналогичная информация о других заседаниях ИМО доступна на сайте РС.</w:t>
      </w:r>
    </w:p>
    <w:p w14:paraId="5F71B3D4" w14:textId="3CBB7928" w:rsidR="00F61D93" w:rsidRPr="00CE0DB9" w:rsidRDefault="00F61D93" w:rsidP="00DA6A3F">
      <w:pPr>
        <w:rPr>
          <w:color w:val="7B7B7B" w:themeColor="accent3" w:themeShade="BF"/>
          <w:sz w:val="16"/>
          <w:szCs w:val="16"/>
        </w:rPr>
      </w:pPr>
    </w:p>
    <w:sectPr w:rsidR="00F61D93" w:rsidRPr="00CE0DB9" w:rsidSect="001145E0">
      <w:headerReference w:type="default" r:id="rId7"/>
      <w:footerReference w:type="default" r:id="rId8"/>
      <w:pgSz w:w="11906" w:h="16838"/>
      <w:pgMar w:top="1418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143E" w14:textId="77777777" w:rsidR="002043B5" w:rsidRDefault="002043B5" w:rsidP="001000DB">
      <w:r>
        <w:separator/>
      </w:r>
    </w:p>
  </w:endnote>
  <w:endnote w:type="continuationSeparator" w:id="0">
    <w:p w14:paraId="5E531435" w14:textId="77777777" w:rsidR="002043B5" w:rsidRDefault="002043B5" w:rsidP="0010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5A5A5" w:themeColor="accent3"/>
      </w:rPr>
      <w:id w:val="265971585"/>
      <w:docPartObj>
        <w:docPartGallery w:val="Page Numbers (Bottom of Page)"/>
        <w:docPartUnique/>
      </w:docPartObj>
    </w:sdtPr>
    <w:sdtEndPr/>
    <w:sdtContent>
      <w:p w14:paraId="07F09B18" w14:textId="5BA41A03" w:rsidR="00970A36" w:rsidRPr="004B4495" w:rsidRDefault="00970A36" w:rsidP="00253E96">
        <w:pPr>
          <w:pStyle w:val="a8"/>
          <w:pBdr>
            <w:top w:val="single" w:sz="4" w:space="1" w:color="A5A5A5" w:themeColor="accent3"/>
          </w:pBdr>
          <w:tabs>
            <w:tab w:val="right" w:pos="10206"/>
          </w:tabs>
          <w:ind w:right="-2"/>
          <w:rPr>
            <w:color w:val="A5A5A5" w:themeColor="accent3"/>
          </w:rPr>
        </w:pPr>
        <w:r w:rsidRPr="0074652B">
          <w:rPr>
            <w:color w:val="A5A5A5" w:themeColor="accent3"/>
          </w:rPr>
          <w:t xml:space="preserve">Краткий отчет о 10-й сессии Подкомитета по человеческому фактору, </w:t>
        </w:r>
        <w:r w:rsidR="00253E96">
          <w:rPr>
            <w:color w:val="A5A5A5" w:themeColor="accent3"/>
          </w:rPr>
          <w:t xml:space="preserve">подготовке </w:t>
        </w:r>
        <w:r w:rsidR="002A534C" w:rsidRPr="002A534C">
          <w:rPr>
            <w:color w:val="A5A5A5" w:themeColor="accent3"/>
          </w:rPr>
          <w:t xml:space="preserve">моряков </w:t>
        </w:r>
        <w:r w:rsidR="00253E96">
          <w:rPr>
            <w:color w:val="A5A5A5" w:themeColor="accent3"/>
          </w:rPr>
          <w:t>и несению вахты (HTW 10, 5–</w:t>
        </w:r>
        <w:r w:rsidRPr="0074652B">
          <w:rPr>
            <w:color w:val="A5A5A5" w:themeColor="accent3"/>
          </w:rPr>
          <w:t xml:space="preserve">9 февраля 2024 г.)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3152" w14:textId="77777777" w:rsidR="002043B5" w:rsidRDefault="002043B5" w:rsidP="001000DB">
      <w:r>
        <w:separator/>
      </w:r>
    </w:p>
  </w:footnote>
  <w:footnote w:type="continuationSeparator" w:id="0">
    <w:p w14:paraId="29B9E510" w14:textId="77777777" w:rsidR="002043B5" w:rsidRDefault="002043B5" w:rsidP="0010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D763" w14:textId="769E7F50" w:rsidR="00970A36" w:rsidRPr="00EB7A2C" w:rsidRDefault="00970A36" w:rsidP="002D1BF1">
    <w:pPr>
      <w:pStyle w:val="a3"/>
      <w:jc w:val="right"/>
      <w:rPr>
        <w:sz w:val="18"/>
        <w:lang w:val="en-US" w:eastAsia="ru-RU" w:bidi="ar-SA"/>
      </w:rPr>
    </w:pPr>
    <w:r w:rsidRPr="001145E0">
      <w:rPr>
        <w:noProof/>
        <w:color w:val="A5A5A5" w:themeColor="accent3"/>
        <w:sz w:val="18"/>
        <w:lang w:eastAsia="ru-RU" w:bidi="ar-SA"/>
      </w:rPr>
      <w:drawing>
        <wp:anchor distT="0" distB="0" distL="114300" distR="114300" simplePos="0" relativeHeight="251661312" behindDoc="0" locked="0" layoutInCell="1" allowOverlap="1" wp14:anchorId="58CE1A6E" wp14:editId="75D8CC4B">
          <wp:simplePos x="0" y="0"/>
          <wp:positionH relativeFrom="column">
            <wp:posOffset>107315</wp:posOffset>
          </wp:positionH>
          <wp:positionV relativeFrom="paragraph">
            <wp:posOffset>-361315</wp:posOffset>
          </wp:positionV>
          <wp:extent cx="609600" cy="593745"/>
          <wp:effectExtent l="0" t="0" r="0" b="0"/>
          <wp:wrapNone/>
          <wp:docPr id="1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F25">
      <w:rPr>
        <w:color w:val="A5A5A5" w:themeColor="accent3"/>
        <w:sz w:val="18"/>
      </w:rPr>
      <w:t>20.02.202</w:t>
    </w:r>
    <w:r w:rsidRPr="001145E0">
      <w:rPr>
        <w:noProof/>
        <w:sz w:val="18"/>
        <w:lang w:eastAsia="ru-RU" w:bidi="ar-SA"/>
      </w:rPr>
      <w:drawing>
        <wp:anchor distT="0" distB="0" distL="114300" distR="114300" simplePos="0" relativeHeight="251659264" behindDoc="1" locked="1" layoutInCell="1" allowOverlap="1" wp14:anchorId="19224D63" wp14:editId="53FF976B">
          <wp:simplePos x="0" y="0"/>
          <wp:positionH relativeFrom="page">
            <wp:posOffset>990600</wp:posOffset>
          </wp:positionH>
          <wp:positionV relativeFrom="page">
            <wp:posOffset>25400</wp:posOffset>
          </wp:positionV>
          <wp:extent cx="5803900" cy="578485"/>
          <wp:effectExtent l="0" t="0" r="6350" b="0"/>
          <wp:wrapNone/>
          <wp:docPr id="12" name="Рисунок 12" descr="RS-Letterhead_A4-Universal-Colour-RUS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S-Letterhead_A4-Universal-Colour-RUS-v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5" t="2422" r="5616" b="91455"/>
                  <a:stretch/>
                </pic:blipFill>
                <pic:spPr bwMode="auto">
                  <a:xfrm>
                    <a:off x="0" y="0"/>
                    <a:ext cx="580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F25">
      <w:rPr>
        <w:color w:val="A5A5A5" w:themeColor="accent3"/>
        <w:sz w:val="18"/>
      </w:rPr>
      <w:t>4</w:t>
    </w:r>
  </w:p>
  <w:p w14:paraId="1BF2D572" w14:textId="77777777" w:rsidR="00970A36" w:rsidRDefault="00970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AFD"/>
    <w:multiLevelType w:val="hybridMultilevel"/>
    <w:tmpl w:val="383E3498"/>
    <w:lvl w:ilvl="0" w:tplc="749610F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619FA"/>
    <w:multiLevelType w:val="hybridMultilevel"/>
    <w:tmpl w:val="3E9094F6"/>
    <w:lvl w:ilvl="0" w:tplc="7E9ED2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81277F"/>
    <w:multiLevelType w:val="hybridMultilevel"/>
    <w:tmpl w:val="D3E0C75C"/>
    <w:lvl w:ilvl="0" w:tplc="9366142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66"/>
    <w:rsid w:val="000110F2"/>
    <w:rsid w:val="000118AE"/>
    <w:rsid w:val="0001752F"/>
    <w:rsid w:val="0003068A"/>
    <w:rsid w:val="00032ECB"/>
    <w:rsid w:val="0003577D"/>
    <w:rsid w:val="0003667B"/>
    <w:rsid w:val="00055164"/>
    <w:rsid w:val="00057867"/>
    <w:rsid w:val="00057A13"/>
    <w:rsid w:val="0006365B"/>
    <w:rsid w:val="00074C47"/>
    <w:rsid w:val="00077453"/>
    <w:rsid w:val="00096FCC"/>
    <w:rsid w:val="000C2B97"/>
    <w:rsid w:val="000D2526"/>
    <w:rsid w:val="000D342D"/>
    <w:rsid w:val="000D6DF2"/>
    <w:rsid w:val="000E49ED"/>
    <w:rsid w:val="000F011B"/>
    <w:rsid w:val="000F46B5"/>
    <w:rsid w:val="000F6712"/>
    <w:rsid w:val="001000DB"/>
    <w:rsid w:val="00103DF2"/>
    <w:rsid w:val="0010784B"/>
    <w:rsid w:val="001145E0"/>
    <w:rsid w:val="0011678D"/>
    <w:rsid w:val="00120DC2"/>
    <w:rsid w:val="0012522D"/>
    <w:rsid w:val="00125AA8"/>
    <w:rsid w:val="00130446"/>
    <w:rsid w:val="00146D98"/>
    <w:rsid w:val="0014754A"/>
    <w:rsid w:val="00163302"/>
    <w:rsid w:val="00174738"/>
    <w:rsid w:val="0017522B"/>
    <w:rsid w:val="001807AE"/>
    <w:rsid w:val="0018255A"/>
    <w:rsid w:val="00185A04"/>
    <w:rsid w:val="00185F46"/>
    <w:rsid w:val="0019516F"/>
    <w:rsid w:val="001A15F2"/>
    <w:rsid w:val="001A2AB1"/>
    <w:rsid w:val="001A58F9"/>
    <w:rsid w:val="001B6BD7"/>
    <w:rsid w:val="001C5C9C"/>
    <w:rsid w:val="001D0B45"/>
    <w:rsid w:val="001E3C3C"/>
    <w:rsid w:val="001F376C"/>
    <w:rsid w:val="001F3A3B"/>
    <w:rsid w:val="001F662D"/>
    <w:rsid w:val="002043B5"/>
    <w:rsid w:val="00215314"/>
    <w:rsid w:val="0022675B"/>
    <w:rsid w:val="00247482"/>
    <w:rsid w:val="00253E96"/>
    <w:rsid w:val="00257DE6"/>
    <w:rsid w:val="002646D9"/>
    <w:rsid w:val="00267C5C"/>
    <w:rsid w:val="00270FCE"/>
    <w:rsid w:val="0028668D"/>
    <w:rsid w:val="0029292F"/>
    <w:rsid w:val="00295E3D"/>
    <w:rsid w:val="002A534C"/>
    <w:rsid w:val="002B168A"/>
    <w:rsid w:val="002C147C"/>
    <w:rsid w:val="002D1BF1"/>
    <w:rsid w:val="002D3842"/>
    <w:rsid w:val="002D561D"/>
    <w:rsid w:val="002F064E"/>
    <w:rsid w:val="003017C8"/>
    <w:rsid w:val="00320C33"/>
    <w:rsid w:val="0032390C"/>
    <w:rsid w:val="00330C13"/>
    <w:rsid w:val="003410E1"/>
    <w:rsid w:val="0034229F"/>
    <w:rsid w:val="00353AC9"/>
    <w:rsid w:val="00356B11"/>
    <w:rsid w:val="003634A1"/>
    <w:rsid w:val="003778B3"/>
    <w:rsid w:val="0038117F"/>
    <w:rsid w:val="0038373B"/>
    <w:rsid w:val="00385291"/>
    <w:rsid w:val="003903EC"/>
    <w:rsid w:val="003A1DD2"/>
    <w:rsid w:val="003A54FF"/>
    <w:rsid w:val="003C2CF0"/>
    <w:rsid w:val="003C360A"/>
    <w:rsid w:val="003D7262"/>
    <w:rsid w:val="003E441F"/>
    <w:rsid w:val="003E490D"/>
    <w:rsid w:val="003E71E5"/>
    <w:rsid w:val="003F06CB"/>
    <w:rsid w:val="003F1FE7"/>
    <w:rsid w:val="003F4558"/>
    <w:rsid w:val="0040202D"/>
    <w:rsid w:val="00410810"/>
    <w:rsid w:val="0041608B"/>
    <w:rsid w:val="004213E4"/>
    <w:rsid w:val="00434361"/>
    <w:rsid w:val="004346BC"/>
    <w:rsid w:val="00457276"/>
    <w:rsid w:val="004632F1"/>
    <w:rsid w:val="00482540"/>
    <w:rsid w:val="00493BEB"/>
    <w:rsid w:val="00495AF0"/>
    <w:rsid w:val="004A1A76"/>
    <w:rsid w:val="004A1B21"/>
    <w:rsid w:val="004B3E0A"/>
    <w:rsid w:val="004B4495"/>
    <w:rsid w:val="004C4F8F"/>
    <w:rsid w:val="004E5569"/>
    <w:rsid w:val="004F3D6C"/>
    <w:rsid w:val="004F754C"/>
    <w:rsid w:val="0050039D"/>
    <w:rsid w:val="005032CF"/>
    <w:rsid w:val="005062D9"/>
    <w:rsid w:val="00511973"/>
    <w:rsid w:val="00511B1A"/>
    <w:rsid w:val="00516D2F"/>
    <w:rsid w:val="00527672"/>
    <w:rsid w:val="00530656"/>
    <w:rsid w:val="00531E89"/>
    <w:rsid w:val="005324E8"/>
    <w:rsid w:val="00533DB9"/>
    <w:rsid w:val="0054604E"/>
    <w:rsid w:val="00551768"/>
    <w:rsid w:val="00557313"/>
    <w:rsid w:val="0056119E"/>
    <w:rsid w:val="00564814"/>
    <w:rsid w:val="00574215"/>
    <w:rsid w:val="005758B2"/>
    <w:rsid w:val="00580855"/>
    <w:rsid w:val="00583E44"/>
    <w:rsid w:val="0058762D"/>
    <w:rsid w:val="00593D70"/>
    <w:rsid w:val="005B1ABC"/>
    <w:rsid w:val="005B226A"/>
    <w:rsid w:val="005B7631"/>
    <w:rsid w:val="005C7ED4"/>
    <w:rsid w:val="005D0005"/>
    <w:rsid w:val="005E4245"/>
    <w:rsid w:val="005F072F"/>
    <w:rsid w:val="005F363D"/>
    <w:rsid w:val="005F393D"/>
    <w:rsid w:val="005F43CB"/>
    <w:rsid w:val="0060170B"/>
    <w:rsid w:val="00616F15"/>
    <w:rsid w:val="00641AAC"/>
    <w:rsid w:val="00646CF8"/>
    <w:rsid w:val="00650113"/>
    <w:rsid w:val="006541E1"/>
    <w:rsid w:val="00670245"/>
    <w:rsid w:val="00675192"/>
    <w:rsid w:val="0067757D"/>
    <w:rsid w:val="0068030D"/>
    <w:rsid w:val="00685382"/>
    <w:rsid w:val="00686219"/>
    <w:rsid w:val="00695460"/>
    <w:rsid w:val="00697566"/>
    <w:rsid w:val="006A6D14"/>
    <w:rsid w:val="006B05E7"/>
    <w:rsid w:val="006B3CCB"/>
    <w:rsid w:val="006B3F43"/>
    <w:rsid w:val="006C0A72"/>
    <w:rsid w:val="006C3D40"/>
    <w:rsid w:val="006C47E4"/>
    <w:rsid w:val="006D2121"/>
    <w:rsid w:val="00700F23"/>
    <w:rsid w:val="00701D9B"/>
    <w:rsid w:val="00702BEB"/>
    <w:rsid w:val="00703D90"/>
    <w:rsid w:val="00705460"/>
    <w:rsid w:val="00712FF0"/>
    <w:rsid w:val="00716EFF"/>
    <w:rsid w:val="00720538"/>
    <w:rsid w:val="00720A76"/>
    <w:rsid w:val="0073350A"/>
    <w:rsid w:val="00736F15"/>
    <w:rsid w:val="007444A4"/>
    <w:rsid w:val="0074652B"/>
    <w:rsid w:val="00750321"/>
    <w:rsid w:val="00751BF0"/>
    <w:rsid w:val="00753A41"/>
    <w:rsid w:val="00763FED"/>
    <w:rsid w:val="00764C70"/>
    <w:rsid w:val="00771E85"/>
    <w:rsid w:val="00772CB9"/>
    <w:rsid w:val="007819F8"/>
    <w:rsid w:val="00787DA9"/>
    <w:rsid w:val="00791305"/>
    <w:rsid w:val="00793D76"/>
    <w:rsid w:val="007A2E5F"/>
    <w:rsid w:val="007A3A49"/>
    <w:rsid w:val="007A5DE1"/>
    <w:rsid w:val="007D4B0A"/>
    <w:rsid w:val="007D57AC"/>
    <w:rsid w:val="007D674C"/>
    <w:rsid w:val="007E712D"/>
    <w:rsid w:val="007F371C"/>
    <w:rsid w:val="00815F03"/>
    <w:rsid w:val="00816E16"/>
    <w:rsid w:val="008314FC"/>
    <w:rsid w:val="008470AA"/>
    <w:rsid w:val="008526FF"/>
    <w:rsid w:val="0085722C"/>
    <w:rsid w:val="008576EA"/>
    <w:rsid w:val="00861853"/>
    <w:rsid w:val="00870DDF"/>
    <w:rsid w:val="008759FC"/>
    <w:rsid w:val="00880A55"/>
    <w:rsid w:val="00881C8D"/>
    <w:rsid w:val="0088455D"/>
    <w:rsid w:val="00892897"/>
    <w:rsid w:val="008B04E8"/>
    <w:rsid w:val="008B7544"/>
    <w:rsid w:val="008C1E62"/>
    <w:rsid w:val="008D6F52"/>
    <w:rsid w:val="008D75B6"/>
    <w:rsid w:val="008E4D5B"/>
    <w:rsid w:val="008E6484"/>
    <w:rsid w:val="008E6565"/>
    <w:rsid w:val="009174F3"/>
    <w:rsid w:val="00937D2B"/>
    <w:rsid w:val="00940997"/>
    <w:rsid w:val="00940D8A"/>
    <w:rsid w:val="00950965"/>
    <w:rsid w:val="009521B5"/>
    <w:rsid w:val="00970A36"/>
    <w:rsid w:val="009833D7"/>
    <w:rsid w:val="00997BCE"/>
    <w:rsid w:val="009A53FF"/>
    <w:rsid w:val="009B2A94"/>
    <w:rsid w:val="009B5A71"/>
    <w:rsid w:val="009C468D"/>
    <w:rsid w:val="009E09AD"/>
    <w:rsid w:val="009E25EA"/>
    <w:rsid w:val="009E7C50"/>
    <w:rsid w:val="00A02964"/>
    <w:rsid w:val="00A33DFF"/>
    <w:rsid w:val="00A47F25"/>
    <w:rsid w:val="00A5380C"/>
    <w:rsid w:val="00A53B9C"/>
    <w:rsid w:val="00A61C00"/>
    <w:rsid w:val="00A658B4"/>
    <w:rsid w:val="00A731A6"/>
    <w:rsid w:val="00A86620"/>
    <w:rsid w:val="00A96453"/>
    <w:rsid w:val="00A97488"/>
    <w:rsid w:val="00AA0D36"/>
    <w:rsid w:val="00AA6475"/>
    <w:rsid w:val="00AA7E2D"/>
    <w:rsid w:val="00AB0446"/>
    <w:rsid w:val="00AB2931"/>
    <w:rsid w:val="00AB2FEA"/>
    <w:rsid w:val="00AB37D9"/>
    <w:rsid w:val="00AB4EDF"/>
    <w:rsid w:val="00AC1DFD"/>
    <w:rsid w:val="00AC25F4"/>
    <w:rsid w:val="00AC69AC"/>
    <w:rsid w:val="00AD2678"/>
    <w:rsid w:val="00AD5CBD"/>
    <w:rsid w:val="00AF0E13"/>
    <w:rsid w:val="00B01D33"/>
    <w:rsid w:val="00B06912"/>
    <w:rsid w:val="00B06C5B"/>
    <w:rsid w:val="00B06E09"/>
    <w:rsid w:val="00B24279"/>
    <w:rsid w:val="00B3416E"/>
    <w:rsid w:val="00B371DD"/>
    <w:rsid w:val="00B3773C"/>
    <w:rsid w:val="00B37B8A"/>
    <w:rsid w:val="00B41B11"/>
    <w:rsid w:val="00B44525"/>
    <w:rsid w:val="00B5459C"/>
    <w:rsid w:val="00B600FE"/>
    <w:rsid w:val="00B65A93"/>
    <w:rsid w:val="00B670CB"/>
    <w:rsid w:val="00B745A5"/>
    <w:rsid w:val="00B90CC9"/>
    <w:rsid w:val="00BA12ED"/>
    <w:rsid w:val="00BA507B"/>
    <w:rsid w:val="00BA5174"/>
    <w:rsid w:val="00BA606A"/>
    <w:rsid w:val="00BB5668"/>
    <w:rsid w:val="00BB6589"/>
    <w:rsid w:val="00BC2095"/>
    <w:rsid w:val="00BC33DA"/>
    <w:rsid w:val="00BD5FE9"/>
    <w:rsid w:val="00BE6349"/>
    <w:rsid w:val="00C150E0"/>
    <w:rsid w:val="00C17B39"/>
    <w:rsid w:val="00C2461B"/>
    <w:rsid w:val="00C24828"/>
    <w:rsid w:val="00C31C1F"/>
    <w:rsid w:val="00C37286"/>
    <w:rsid w:val="00C47FF3"/>
    <w:rsid w:val="00C539FE"/>
    <w:rsid w:val="00C550A8"/>
    <w:rsid w:val="00C56192"/>
    <w:rsid w:val="00C57490"/>
    <w:rsid w:val="00C7418A"/>
    <w:rsid w:val="00C92F80"/>
    <w:rsid w:val="00C93FE1"/>
    <w:rsid w:val="00CA3767"/>
    <w:rsid w:val="00CA4065"/>
    <w:rsid w:val="00CB069C"/>
    <w:rsid w:val="00CB4195"/>
    <w:rsid w:val="00CC0175"/>
    <w:rsid w:val="00CC2190"/>
    <w:rsid w:val="00CC5595"/>
    <w:rsid w:val="00CD43BF"/>
    <w:rsid w:val="00CD7822"/>
    <w:rsid w:val="00CD7E7C"/>
    <w:rsid w:val="00CE0DB9"/>
    <w:rsid w:val="00CE2120"/>
    <w:rsid w:val="00CF0323"/>
    <w:rsid w:val="00CF12F5"/>
    <w:rsid w:val="00CF7500"/>
    <w:rsid w:val="00D03CA2"/>
    <w:rsid w:val="00D110E4"/>
    <w:rsid w:val="00D40B33"/>
    <w:rsid w:val="00D50360"/>
    <w:rsid w:val="00D62959"/>
    <w:rsid w:val="00D7196E"/>
    <w:rsid w:val="00D82162"/>
    <w:rsid w:val="00D86F17"/>
    <w:rsid w:val="00D87663"/>
    <w:rsid w:val="00D879B7"/>
    <w:rsid w:val="00D87C25"/>
    <w:rsid w:val="00D94CC3"/>
    <w:rsid w:val="00D95E6E"/>
    <w:rsid w:val="00D96839"/>
    <w:rsid w:val="00DA6A3F"/>
    <w:rsid w:val="00DA792C"/>
    <w:rsid w:val="00DC017A"/>
    <w:rsid w:val="00DC073C"/>
    <w:rsid w:val="00DC3D5F"/>
    <w:rsid w:val="00DC4DA6"/>
    <w:rsid w:val="00DC61BE"/>
    <w:rsid w:val="00DD13CD"/>
    <w:rsid w:val="00DD1CB6"/>
    <w:rsid w:val="00DD3060"/>
    <w:rsid w:val="00DE0E33"/>
    <w:rsid w:val="00E05001"/>
    <w:rsid w:val="00E10486"/>
    <w:rsid w:val="00E25907"/>
    <w:rsid w:val="00E30C57"/>
    <w:rsid w:val="00E31187"/>
    <w:rsid w:val="00E35996"/>
    <w:rsid w:val="00E54E02"/>
    <w:rsid w:val="00E62A2B"/>
    <w:rsid w:val="00E93542"/>
    <w:rsid w:val="00EA066D"/>
    <w:rsid w:val="00EA2E6C"/>
    <w:rsid w:val="00EA3ADE"/>
    <w:rsid w:val="00EB750D"/>
    <w:rsid w:val="00EB7A2C"/>
    <w:rsid w:val="00EC1232"/>
    <w:rsid w:val="00EC5B95"/>
    <w:rsid w:val="00ED5921"/>
    <w:rsid w:val="00ED5DF7"/>
    <w:rsid w:val="00EE06A5"/>
    <w:rsid w:val="00EF5DEE"/>
    <w:rsid w:val="00F176AC"/>
    <w:rsid w:val="00F22BE4"/>
    <w:rsid w:val="00F3065F"/>
    <w:rsid w:val="00F32755"/>
    <w:rsid w:val="00F36EE9"/>
    <w:rsid w:val="00F46BA5"/>
    <w:rsid w:val="00F61D93"/>
    <w:rsid w:val="00F6649E"/>
    <w:rsid w:val="00F73EAF"/>
    <w:rsid w:val="00F9592C"/>
    <w:rsid w:val="00F9726A"/>
    <w:rsid w:val="00FA662C"/>
    <w:rsid w:val="00FB3BF7"/>
    <w:rsid w:val="00FB5C2D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35FC"/>
  <w15:chartTrackingRefBased/>
  <w15:docId w15:val="{0DC024AF-93EC-4560-8B3D-9DEF975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3CB"/>
    <w:pPr>
      <w:spacing w:before="60" w:after="0" w:line="240" w:lineRule="auto"/>
      <w:jc w:val="both"/>
    </w:pPr>
    <w:rPr>
      <w:sz w:val="20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EA066D"/>
    <w:pPr>
      <w:spacing w:after="4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07B"/>
    <w:pPr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066D"/>
    <w:pPr>
      <w:spacing w:before="120" w:after="240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DA6"/>
  </w:style>
  <w:style w:type="paragraph" w:styleId="a5">
    <w:name w:val="footer"/>
    <w:basedOn w:val="a"/>
    <w:link w:val="a6"/>
    <w:uiPriority w:val="99"/>
    <w:unhideWhenUsed/>
    <w:rsid w:val="00DC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DA6"/>
  </w:style>
  <w:style w:type="character" w:customStyle="1" w:styleId="10">
    <w:name w:val="Заголовок 1 Знак"/>
    <w:basedOn w:val="a0"/>
    <w:link w:val="1"/>
    <w:uiPriority w:val="9"/>
    <w:rsid w:val="00EA066D"/>
    <w:rPr>
      <w:b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BA507B"/>
  </w:style>
  <w:style w:type="paragraph" w:styleId="a7">
    <w:name w:val="List Paragraph"/>
    <w:basedOn w:val="a"/>
    <w:uiPriority w:val="34"/>
    <w:qFormat/>
    <w:rsid w:val="000F01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66D"/>
    <w:rPr>
      <w:b/>
      <w:i/>
      <w:sz w:val="24"/>
      <w:lang w:bidi="ru-RU"/>
    </w:rPr>
  </w:style>
  <w:style w:type="paragraph" w:styleId="a8">
    <w:name w:val="Subtitle"/>
    <w:basedOn w:val="a5"/>
    <w:next w:val="a"/>
    <w:link w:val="a9"/>
    <w:uiPriority w:val="11"/>
    <w:qFormat/>
    <w:rsid w:val="001000DB"/>
    <w:pPr>
      <w:jc w:val="left"/>
    </w:pPr>
    <w:rPr>
      <w:sz w:val="16"/>
    </w:rPr>
  </w:style>
  <w:style w:type="character" w:customStyle="1" w:styleId="a9">
    <w:name w:val="Подзаголовок Знак"/>
    <w:basedOn w:val="a0"/>
    <w:link w:val="a8"/>
    <w:uiPriority w:val="11"/>
    <w:rsid w:val="001000DB"/>
    <w:rPr>
      <w:sz w:val="16"/>
      <w:lang w:bidi="ru-RU"/>
    </w:rPr>
  </w:style>
  <w:style w:type="character" w:styleId="aa">
    <w:name w:val="Hyperlink"/>
    <w:basedOn w:val="a0"/>
    <w:uiPriority w:val="99"/>
    <w:unhideWhenUsed/>
    <w:rsid w:val="00DA6A3F"/>
    <w:rPr>
      <w:color w:val="0563C1" w:themeColor="hyperlink"/>
      <w:u w:val="single"/>
    </w:rPr>
  </w:style>
  <w:style w:type="paragraph" w:styleId="ab">
    <w:name w:val="No Spacing"/>
    <w:uiPriority w:val="1"/>
    <w:qFormat/>
    <w:rsid w:val="008D75B6"/>
    <w:pPr>
      <w:spacing w:after="0" w:line="240" w:lineRule="auto"/>
      <w:jc w:val="both"/>
    </w:pPr>
    <w:rPr>
      <w:sz w:val="20"/>
      <w:lang w:bidi="ru-RU"/>
    </w:rPr>
  </w:style>
  <w:style w:type="character" w:customStyle="1" w:styleId="fontstyle01">
    <w:name w:val="fontstyle01"/>
    <w:basedOn w:val="a0"/>
    <w:rsid w:val="006D212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6D212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E21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2120"/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2120"/>
    <w:rPr>
      <w:sz w:val="20"/>
      <w:szCs w:val="20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1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2120"/>
    <w:rPr>
      <w:b/>
      <w:bCs/>
      <w:sz w:val="20"/>
      <w:szCs w:val="2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E21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2120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Олег Александрович / Oleg Chernov</dc:creator>
  <cp:keywords/>
  <dc:description/>
  <cp:lastModifiedBy>Легуша Сергей Федорович</cp:lastModifiedBy>
  <cp:revision>15</cp:revision>
  <cp:lastPrinted>2023-04-05T11:25:00Z</cp:lastPrinted>
  <dcterms:created xsi:type="dcterms:W3CDTF">2024-02-20T07:21:00Z</dcterms:created>
  <dcterms:modified xsi:type="dcterms:W3CDTF">2024-02-22T10:03:00Z</dcterms:modified>
</cp:coreProperties>
</file>